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F2" w:rsidRDefault="00557CF2" w:rsidP="00E35D07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E35D07">
        <w:rPr>
          <w:rFonts w:ascii="Cambria" w:hAnsi="Cambria" w:cs="Cambria"/>
          <w:b/>
          <w:bCs/>
          <w:sz w:val="32"/>
          <w:szCs w:val="32"/>
        </w:rPr>
        <w:t>ODBORNÉ UČILIŠTE TRSTÍN</w:t>
      </w:r>
    </w:p>
    <w:p w:rsidR="00557CF2" w:rsidRDefault="00557CF2" w:rsidP="00E35D07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57CF2" w:rsidRDefault="00557CF2" w:rsidP="00E35D07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57CF2" w:rsidRPr="00E35D07" w:rsidRDefault="00557CF2" w:rsidP="00E35D07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57CF2" w:rsidRPr="00E35D07" w:rsidRDefault="00557CF2" w:rsidP="00E35D07">
      <w:pPr>
        <w:jc w:val="center"/>
        <w:rPr>
          <w:rFonts w:ascii="Cambria" w:hAnsi="Cambria" w:cs="Cambria"/>
          <w:b/>
          <w:bCs/>
          <w:sz w:val="48"/>
          <w:szCs w:val="48"/>
        </w:rPr>
      </w:pPr>
      <w:r w:rsidRPr="00E35D07">
        <w:rPr>
          <w:rFonts w:ascii="Cambria" w:hAnsi="Cambria" w:cs="Cambria"/>
          <w:b/>
          <w:bCs/>
          <w:sz w:val="48"/>
          <w:szCs w:val="48"/>
        </w:rPr>
        <w:t>ŠKOLSKÝ VZDELÁVACÍ PROGRAM</w:t>
      </w:r>
    </w:p>
    <w:p w:rsidR="00557CF2" w:rsidRPr="00E35D07" w:rsidRDefault="00557CF2" w:rsidP="00E35D07">
      <w:pPr>
        <w:jc w:val="center"/>
        <w:rPr>
          <w:rFonts w:ascii="Cambria" w:hAnsi="Cambria" w:cs="Cambria"/>
          <w:b/>
          <w:bCs/>
          <w:sz w:val="48"/>
          <w:szCs w:val="48"/>
        </w:rPr>
      </w:pPr>
      <w:r w:rsidRPr="00E35D07">
        <w:rPr>
          <w:rFonts w:ascii="Cambria" w:hAnsi="Cambria" w:cs="Cambria"/>
          <w:b/>
          <w:bCs/>
          <w:sz w:val="48"/>
          <w:szCs w:val="48"/>
        </w:rPr>
        <w:t>OPATROVATEĽSKÁ STAROSTLIVOSŤ</w:t>
      </w: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E35D07">
      <w:pPr>
        <w:jc w:val="center"/>
        <w:rPr>
          <w:b/>
          <w:bCs/>
          <w:sz w:val="28"/>
          <w:szCs w:val="28"/>
        </w:rPr>
      </w:pPr>
      <w:r w:rsidRPr="00393B06">
        <w:rPr>
          <w:b/>
          <w:bCs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 RCT reedukačné centrum trstín" style="width:378pt;height:252pt;visibility:visible">
            <v:imagedata r:id="rId7" o:title=""/>
          </v:shape>
        </w:pict>
      </w: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Default="00557CF2" w:rsidP="00B57129">
      <w:pPr>
        <w:rPr>
          <w:b/>
          <w:bCs/>
          <w:sz w:val="28"/>
          <w:szCs w:val="28"/>
        </w:rPr>
      </w:pPr>
    </w:p>
    <w:p w:rsidR="00557CF2" w:rsidRPr="00520CBE" w:rsidRDefault="00557CF2" w:rsidP="00B57129">
      <w:pPr>
        <w:rPr>
          <w:b/>
          <w:bCs/>
          <w:sz w:val="28"/>
          <w:szCs w:val="28"/>
        </w:rPr>
      </w:pPr>
      <w:r w:rsidRPr="00520CBE">
        <w:rPr>
          <w:b/>
          <w:bCs/>
          <w:sz w:val="28"/>
          <w:szCs w:val="28"/>
        </w:rPr>
        <w:t xml:space="preserve">Úvodné identifikačné údaje 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 xml:space="preserve">Názov a adresa školy: </w:t>
      </w:r>
      <w:r w:rsidRPr="0077039D">
        <w:rPr>
          <w:rFonts w:ascii="Cambria" w:hAnsi="Cambria" w:cs="Cambria"/>
          <w:sz w:val="24"/>
          <w:szCs w:val="24"/>
        </w:rPr>
        <w:t>Odborné učilište, Trstín č.335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Názov školského vzdelávacieho programu</w:t>
      </w:r>
      <w:r>
        <w:rPr>
          <w:rFonts w:ascii="Cambria" w:hAnsi="Cambria" w:cs="Cambria"/>
          <w:sz w:val="24"/>
          <w:szCs w:val="24"/>
        </w:rPr>
        <w:t>: O</w:t>
      </w:r>
      <w:r w:rsidRPr="0077039D">
        <w:rPr>
          <w:rFonts w:ascii="Cambria" w:hAnsi="Cambria" w:cs="Cambria"/>
          <w:sz w:val="24"/>
          <w:szCs w:val="24"/>
        </w:rPr>
        <w:t>patrovateľská starostlivosť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Kód a názov ŠVP</w:t>
      </w:r>
      <w:r w:rsidRPr="0077039D">
        <w:rPr>
          <w:rFonts w:ascii="Cambria" w:hAnsi="Cambria" w:cs="Cambria"/>
          <w:sz w:val="24"/>
          <w:szCs w:val="24"/>
        </w:rPr>
        <w:t xml:space="preserve"> : 64 Ekonomika a organizácia, obchod a služby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Kód a názov učebného odboru:</w:t>
      </w:r>
      <w:r w:rsidRPr="0077039D">
        <w:rPr>
          <w:rFonts w:ascii="Cambria" w:hAnsi="Cambria" w:cs="Cambria"/>
          <w:sz w:val="24"/>
          <w:szCs w:val="24"/>
        </w:rPr>
        <w:t xml:space="preserve"> 6486 2 opatrovateľská starostlivosť v zdravotníckych zariadeniach a v zaradeniach sociálnej starostlivosti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Stupeň vzdelania</w:t>
      </w:r>
      <w:r w:rsidRPr="0077039D">
        <w:rPr>
          <w:rFonts w:ascii="Cambria" w:hAnsi="Cambria" w:cs="Cambria"/>
          <w:sz w:val="24"/>
          <w:szCs w:val="24"/>
        </w:rPr>
        <w:t>: nižšie stredné odborné vzdelanie – ISCED 2C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Dĺžka štúdia</w:t>
      </w:r>
      <w:r w:rsidRPr="0077039D">
        <w:rPr>
          <w:rFonts w:ascii="Cambria" w:hAnsi="Cambria" w:cs="Cambria"/>
          <w:sz w:val="24"/>
          <w:szCs w:val="24"/>
        </w:rPr>
        <w:t>: 3 roky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 xml:space="preserve"> Forma štúdia:</w:t>
      </w:r>
      <w:r w:rsidRPr="0077039D">
        <w:rPr>
          <w:rFonts w:ascii="Cambria" w:hAnsi="Cambria" w:cs="Cambria"/>
          <w:sz w:val="24"/>
          <w:szCs w:val="24"/>
        </w:rPr>
        <w:t xml:space="preserve"> denná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77039D">
        <w:rPr>
          <w:rFonts w:ascii="Cambria" w:hAnsi="Cambria" w:cs="Cambria"/>
          <w:b/>
          <w:bCs/>
          <w:sz w:val="24"/>
          <w:szCs w:val="24"/>
        </w:rPr>
        <w:t>Vyučovací jazyk</w:t>
      </w:r>
      <w:r w:rsidRPr="0077039D">
        <w:rPr>
          <w:rFonts w:ascii="Cambria" w:hAnsi="Cambria" w:cs="Cambria"/>
          <w:sz w:val="24"/>
          <w:szCs w:val="24"/>
        </w:rPr>
        <w:t>: slovenský</w:t>
      </w:r>
    </w:p>
    <w:p w:rsidR="00557CF2" w:rsidRPr="0077039D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Druh</w:t>
      </w:r>
      <w:r w:rsidRPr="0077039D">
        <w:rPr>
          <w:rFonts w:ascii="Cambria" w:hAnsi="Cambria" w:cs="Cambria"/>
          <w:b/>
          <w:bCs/>
          <w:sz w:val="24"/>
          <w:szCs w:val="24"/>
        </w:rPr>
        <w:t xml:space="preserve"> školy</w:t>
      </w:r>
      <w:r w:rsidRPr="0077039D">
        <w:rPr>
          <w:rFonts w:ascii="Cambria" w:hAnsi="Cambria" w:cs="Cambria"/>
          <w:sz w:val="24"/>
          <w:szCs w:val="24"/>
        </w:rPr>
        <w:t>: štátna</w:t>
      </w:r>
    </w:p>
    <w:p w:rsidR="00557CF2" w:rsidRDefault="00557CF2" w:rsidP="00182EC5">
      <w:pPr>
        <w:spacing w:after="0"/>
        <w:jc w:val="both"/>
      </w:pP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5C6FEF">
        <w:rPr>
          <w:rFonts w:ascii="Cambria" w:hAnsi="Cambria" w:cs="Cambria"/>
          <w:b/>
          <w:bCs/>
          <w:sz w:val="24"/>
          <w:szCs w:val="24"/>
          <w:u w:val="single"/>
        </w:rPr>
        <w:t xml:space="preserve">Predkladateľ 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Názov školy:  </w:t>
      </w:r>
      <w:r>
        <w:rPr>
          <w:rFonts w:ascii="Cambria" w:hAnsi="Cambria" w:cs="Cambria"/>
          <w:b/>
          <w:bCs/>
          <w:sz w:val="24"/>
          <w:szCs w:val="24"/>
        </w:rPr>
        <w:t>ODBORNÉ UČILIŠTE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Adresa:</w:t>
      </w:r>
      <w:r>
        <w:rPr>
          <w:rFonts w:ascii="Cambria" w:hAnsi="Cambria" w:cs="Cambria"/>
          <w:sz w:val="24"/>
          <w:szCs w:val="24"/>
        </w:rPr>
        <w:t>Trstín č. 335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IČO: 00163317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Riaditeľ školy</w:t>
      </w:r>
      <w:r w:rsidRPr="005C6FEF">
        <w:rPr>
          <w:rFonts w:ascii="Cambria" w:hAnsi="Cambria" w:cs="Cambria"/>
          <w:sz w:val="24"/>
          <w:szCs w:val="24"/>
        </w:rPr>
        <w:t>: Mgr. Miloš Blaško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>Koordinátor pre tvorbu ŠVP</w:t>
      </w:r>
      <w:r w:rsidRPr="005C6FEF">
        <w:rPr>
          <w:rFonts w:ascii="Cambria" w:hAnsi="Cambria" w:cs="Cambria"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</w:rPr>
        <w:t>Mgr. Oľga Tarandová</w:t>
      </w: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Kontakt: </w:t>
      </w:r>
      <w:r w:rsidRPr="005C6FEF">
        <w:rPr>
          <w:rFonts w:ascii="Cambria" w:hAnsi="Cambria" w:cs="Cambria"/>
          <w:sz w:val="24"/>
          <w:szCs w:val="24"/>
        </w:rPr>
        <w:t xml:space="preserve">Reedukačné </w:t>
      </w:r>
      <w:r>
        <w:rPr>
          <w:rFonts w:ascii="Cambria" w:hAnsi="Cambria" w:cs="Cambria"/>
          <w:sz w:val="24"/>
          <w:szCs w:val="24"/>
        </w:rPr>
        <w:t>centrum, Trstín č.335</w:t>
      </w:r>
      <w:r w:rsidRPr="005C6FEF">
        <w:rPr>
          <w:rFonts w:ascii="Cambria" w:hAnsi="Cambria" w:cs="Cambria"/>
          <w:sz w:val="24"/>
          <w:szCs w:val="24"/>
        </w:rPr>
        <w:t>, 91905</w:t>
      </w: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email: </w:t>
      </w:r>
      <w:hyperlink r:id="rId8" w:history="1">
        <w:r w:rsidRPr="00EA1ECB">
          <w:rPr>
            <w:rStyle w:val="Hyperlink"/>
            <w:rFonts w:ascii="Cambria" w:hAnsi="Cambria" w:cs="Cambria"/>
            <w:sz w:val="24"/>
            <w:szCs w:val="24"/>
          </w:rPr>
          <w:t>trstinrc@gmail.com</w:t>
        </w:r>
      </w:hyperlink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5C6FEF" w:rsidRDefault="00557CF2" w:rsidP="004940F7">
      <w:pPr>
        <w:spacing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C6FEF">
        <w:rPr>
          <w:rFonts w:ascii="Cambria" w:hAnsi="Cambria" w:cs="Cambria"/>
          <w:b/>
          <w:bCs/>
          <w:sz w:val="24"/>
          <w:szCs w:val="24"/>
        </w:rPr>
        <w:t xml:space="preserve">Dátum schválenia: </w:t>
      </w: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E35D07">
        <w:rPr>
          <w:rFonts w:ascii="Cambria" w:hAnsi="Cambria" w:cs="Cambria"/>
          <w:b/>
          <w:bCs/>
          <w:sz w:val="24"/>
          <w:szCs w:val="24"/>
        </w:rPr>
        <w:t>Revidovanie</w:t>
      </w:r>
    </w:p>
    <w:p w:rsidR="00557CF2" w:rsidRPr="00E35D07" w:rsidRDefault="00557CF2" w:rsidP="00182EC5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5"/>
        <w:gridCol w:w="1038"/>
        <w:gridCol w:w="6017"/>
      </w:tblGrid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Platnosť revidovania</w:t>
            </w: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Dátum</w:t>
            </w: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Zaznamenanie inovácie, zmeny, úpravy a pod.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 xml:space="preserve">Platnosť ŠkVP od </w:t>
            </w: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1.9.2009</w:t>
            </w: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Rozšírený o 2.ročník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01A5">
              <w:rPr>
                <w:rFonts w:ascii="Cambria" w:hAnsi="Cambria" w:cs="Cambria"/>
              </w:rPr>
              <w:t>Rozšírený o 3.ročník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Revidovanie</w:t>
            </w: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2014</w:t>
            </w: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Úpravy na základe opatrení ŠŠI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1.9.2014</w:t>
            </w:r>
          </w:p>
        </w:tc>
        <w:tc>
          <w:tcPr>
            <w:tcW w:w="6017" w:type="dxa"/>
          </w:tcPr>
          <w:p w:rsidR="00557CF2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Číselný kód učebného odboru zmena na 6485 G00</w:t>
            </w:r>
          </w:p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Zmena názvu: Opatrovateľská starostlivosť v zariadeniach sociálnej starostlivosti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F0799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Revidovanie </w:t>
            </w:r>
          </w:p>
        </w:tc>
        <w:tc>
          <w:tcPr>
            <w:tcW w:w="1038" w:type="dxa"/>
          </w:tcPr>
          <w:p w:rsidR="00557CF2" w:rsidRPr="005F01A5" w:rsidRDefault="00557CF2" w:rsidP="00F0799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1.9.2016</w:t>
            </w:r>
          </w:p>
        </w:tc>
        <w:tc>
          <w:tcPr>
            <w:tcW w:w="6017" w:type="dxa"/>
          </w:tcPr>
          <w:p w:rsidR="00557CF2" w:rsidRPr="005F01A5" w:rsidRDefault="00557CF2" w:rsidP="00F0799E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Dodatok: Finančná gramotnosť</w:t>
            </w: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557CF2" w:rsidRPr="005F01A5">
        <w:trPr>
          <w:trHeight w:val="516"/>
        </w:trPr>
        <w:tc>
          <w:tcPr>
            <w:tcW w:w="2055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038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6017" w:type="dxa"/>
          </w:tcPr>
          <w:p w:rsidR="00557CF2" w:rsidRPr="005F01A5" w:rsidRDefault="00557CF2" w:rsidP="005F01A5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5C6FEF" w:rsidRDefault="00557CF2" w:rsidP="00182EC5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462E2D">
      <w:pPr>
        <w:pStyle w:val="ListParagraph"/>
        <w:numPr>
          <w:ilvl w:val="0"/>
          <w:numId w:val="2"/>
        </w:numPr>
        <w:rPr>
          <w:rFonts w:ascii="Cambria" w:hAnsi="Cambria" w:cs="Cambria"/>
          <w:b/>
          <w:bCs/>
          <w:sz w:val="24"/>
          <w:szCs w:val="24"/>
        </w:rPr>
      </w:pPr>
      <w:r w:rsidRPr="00462E2D">
        <w:rPr>
          <w:rFonts w:ascii="Cambria" w:hAnsi="Cambria" w:cs="Cambria"/>
          <w:b/>
          <w:bCs/>
          <w:sz w:val="24"/>
          <w:szCs w:val="24"/>
        </w:rPr>
        <w:t>CIELE A POSLANIE VÝCHOVY A</w:t>
      </w:r>
      <w:r>
        <w:rPr>
          <w:rFonts w:ascii="Cambria" w:hAnsi="Cambria" w:cs="Cambria"/>
          <w:b/>
          <w:bCs/>
          <w:sz w:val="24"/>
          <w:szCs w:val="24"/>
        </w:rPr>
        <w:t> </w:t>
      </w:r>
      <w:r w:rsidRPr="00462E2D">
        <w:rPr>
          <w:rFonts w:ascii="Cambria" w:hAnsi="Cambria" w:cs="Cambria"/>
          <w:b/>
          <w:bCs/>
          <w:sz w:val="24"/>
          <w:szCs w:val="24"/>
        </w:rPr>
        <w:t>VZDELÁVANIA</w:t>
      </w:r>
    </w:p>
    <w:p w:rsidR="00557CF2" w:rsidRDefault="00557CF2" w:rsidP="00462E2D">
      <w:pPr>
        <w:pStyle w:val="ListParagraph"/>
        <w:ind w:left="1080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Ciele a poslanie výchovy a vzdelávania  v ŠkVP vychádza z cieľov stanovených Školským zákonom 245/2008 Z.</w:t>
      </w:r>
      <w:bookmarkStart w:id="0" w:name="_GoBack"/>
      <w:bookmarkEnd w:id="0"/>
      <w:r w:rsidRPr="00253CDC">
        <w:rPr>
          <w:rFonts w:ascii="Cambria" w:hAnsi="Cambria" w:cs="Cambria"/>
          <w:sz w:val="24"/>
          <w:szCs w:val="24"/>
        </w:rPr>
        <w:t xml:space="preserve">z. a ŠVP pre skupinu  učebných </w:t>
      </w:r>
      <w:r>
        <w:rPr>
          <w:rFonts w:ascii="Cambria" w:hAnsi="Cambria" w:cs="Cambria"/>
          <w:sz w:val="24"/>
          <w:szCs w:val="24"/>
        </w:rPr>
        <w:t xml:space="preserve">odborov </w:t>
      </w:r>
      <w:r w:rsidRPr="00253CDC">
        <w:rPr>
          <w:rFonts w:ascii="Cambria" w:hAnsi="Cambria" w:cs="Cambria"/>
          <w:sz w:val="24"/>
          <w:szCs w:val="24"/>
        </w:rPr>
        <w:t>64 Ekonomika a organizácia, obchod a služby.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 xml:space="preserve">Poslaním našej školy </w:t>
      </w:r>
      <w:r w:rsidRPr="00253CDC">
        <w:rPr>
          <w:rFonts w:ascii="Cambria" w:hAnsi="Cambria" w:cs="Cambria"/>
          <w:sz w:val="24"/>
          <w:szCs w:val="24"/>
        </w:rPr>
        <w:t xml:space="preserve">je výchova a vzdelávanie žiakov s mentálnym postihnutím alebo žiakov s mentálnym postihnutím v kombinácii s iným zdravotným postihnutím tak, aby z nich vyrástli dobrí, morálni, charakterní a pracovití ľudia, aby získali kvalifikáciu vo svojom učebnom odbore a aby sa so svojimi všeobecnými vedomosťami, praktickými zručnosťami a návykmi uplatnili na trhu práce. 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Poslaním školy je nielen odovzdávať vedomosti, profesijne pripraviť žiačky na povolanie, ale i formovať  u mladých ľudí ich postoje, viesť ich k dodržiavaniu etických a ľudských princípov.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Ciele výchovy a vzdelávania spočívajú v cieľavedomom a systematickom rozvoji poznávacích schopností, emocionálnej zrelosti, motivácii k neustálemu zdokonaľovaniu sa, prosociálnemu správaniu, dodržiavaniu základných etických a spoločenských noriem. Cieľom je motivovať žiačky k sústavnému zdokonaľovaniu sa, k prosociálnemu správaniu a schopnosti prevziať zodpovednosť za seba a svoje správanie.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Ciele výchovy a vzdelávania : 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Cieľom výchovy a vzdelávania v odbornom učilišti je umožniť žiakovi: </w:t>
      </w:r>
    </w:p>
    <w:p w:rsidR="00557CF2" w:rsidRPr="00253CDC" w:rsidRDefault="00557CF2" w:rsidP="00253CDC">
      <w:pPr>
        <w:pStyle w:val="ListParagraph"/>
        <w:numPr>
          <w:ilvl w:val="0"/>
          <w:numId w:val="8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získať primerané kompetencie, a to najmä v oblasti komunikačných schopností, využívania informačno-komunikačných technológií, komunikácie v štátnom jazyku, materinskom jazyku a matematickej gramotnosti, získať tiež primerané sociálne, občianske a kultúrne kompetencie,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rozvíjať manuálne zručnosti, adekvátne tvorivé schopnosti a aktuálne poznatky potrebné na výkon povolania na trhu práce, </w:t>
      </w:r>
    </w:p>
    <w:p w:rsidR="00557CF2" w:rsidRPr="00253CDC" w:rsidRDefault="00557CF2" w:rsidP="00253CDC">
      <w:pPr>
        <w:pStyle w:val="Default"/>
        <w:spacing w:line="276" w:lineRule="auto"/>
        <w:ind w:left="720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posilňovať úctu k človeku, ku kultúrnym a národným hodnotám a tradíciám štátu, ktorého je občanom, k štátnemu jazyku, k materinskému jazyku a k svojej vlastnej kultúre, 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získať a posilňovať úctu k ľudským právam a základným slobodám a zásadám ustanoveným v Dohovore o ochrane ľudských práv a základných slobôd, 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pripraviť sa na zodpovedný plnohodnotný život v spoločnosti v duchu porozumenia a znášanlivosti, rovnosti muža a ženy, priateľstva medzi národmi, národnostnými a etnickými skupinami a náboženskej tolerancie, 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naučiť sa kultivovať svoju osobnosť, pracovať v skupine a preberať na seba zodpovednosť, </w:t>
      </w:r>
    </w:p>
    <w:p w:rsidR="00557CF2" w:rsidRPr="00253CDC" w:rsidRDefault="00557CF2" w:rsidP="00253CD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naučiť sa kontrolovať a regulovať svoje správanie, chrániť svoje zdravie a životné prostredie a rešpektovať všeľudské etické hodnoty, </w:t>
      </w:r>
    </w:p>
    <w:p w:rsidR="00557CF2" w:rsidRPr="004940F7" w:rsidRDefault="00557CF2" w:rsidP="00253CDC">
      <w:pPr>
        <w:pStyle w:val="ListParagraph"/>
        <w:numPr>
          <w:ilvl w:val="0"/>
          <w:numId w:val="8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získať všetky informácie o právach dieťaťa a spôsobilosť na ich uplatňovanie.</w:t>
      </w:r>
    </w:p>
    <w:p w:rsidR="00557CF2" w:rsidRDefault="00557CF2" w:rsidP="00253CDC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VLASTNÉ ZAMERANIE ŠKOLY</w:t>
      </w:r>
    </w:p>
    <w:p w:rsidR="00557CF2" w:rsidRPr="00253CDC" w:rsidRDefault="00557CF2" w:rsidP="00253CDC">
      <w:pPr>
        <w:pStyle w:val="ListParagraph"/>
        <w:ind w:left="108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 xml:space="preserve">História školy a zariadenia </w:t>
      </w:r>
    </w:p>
    <w:p w:rsidR="00557CF2" w:rsidRPr="00253CDC" w:rsidRDefault="00557CF2" w:rsidP="00253CDC">
      <w:pPr>
        <w:ind w:firstLine="36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Špeciálna základná škola je zriadená pri Reedukačnom centre, ktoré sídli v barokovom kaštieli v Trstíne. Uvedený kaštieľ je postavený v polovici 18. storočia ako lokálne centrum správy zdedených majetkových podielov rodiny Pongrácovcov. Po prestavbe v 19. storočí sa rozšíril o jedno poschodie. Pôvodne mal kaštieľ 14 izieb a jednu kaplnku. Od roku 1780 do roku 1866 sa konali v kaplnke bohoslužby. Kaplnka mala jeden oltár. Neskôr bola prebudovaná, ako aj celý kaštieľ pre sociálne účely. Pôvodne  na západnej strane bol pripojený ku kaštieľu prízemný trakt pre služobníctvo. V súčasnosti je zbúraný a nahradený novou prístavbou, v ktorej je zriadená škola. Pongrácovci postavili v roku 1782 v parku dve sochy sv. Floriána a sv. Jána Nepomuckého. Do súčasnosti sa zachovalo len torzo sv. Floriána. Od  grófov Pongrácovcov kúpil kaštieľ v roku 1829 Pavol Motešický, manžel Jozefíny Révayovej. Ich dcéra</w:t>
      </w:r>
      <w:r>
        <w:rPr>
          <w:rFonts w:ascii="Cambria" w:hAnsi="Cambria" w:cs="Cambria"/>
          <w:sz w:val="24"/>
          <w:szCs w:val="24"/>
        </w:rPr>
        <w:t>,</w:t>
      </w:r>
      <w:r w:rsidRPr="00253CDC">
        <w:rPr>
          <w:rFonts w:ascii="Cambria" w:hAnsi="Cambria" w:cs="Cambria"/>
          <w:sz w:val="24"/>
          <w:szCs w:val="24"/>
        </w:rPr>
        <w:t xml:space="preserve"> barónka Terézia Neustädterová</w:t>
      </w:r>
      <w:r>
        <w:rPr>
          <w:rFonts w:ascii="Cambria" w:hAnsi="Cambria" w:cs="Cambria"/>
          <w:sz w:val="24"/>
          <w:szCs w:val="24"/>
        </w:rPr>
        <w:t>,</w:t>
      </w:r>
      <w:r w:rsidRPr="00253CDC">
        <w:rPr>
          <w:rFonts w:ascii="Cambria" w:hAnsi="Cambria" w:cs="Cambria"/>
          <w:sz w:val="24"/>
          <w:szCs w:val="24"/>
        </w:rPr>
        <w:t xml:space="preserve"> žila v ňom až do roku 1852 a pre dlžoby ho bola nútená predať statkárovi Ferdinandovi Krischkerovi.  Vo vlastníctve ich rodu bol až do roku 1932, potom ho jeho synovia predali spolu s panstvom Rudolfovi Strobachovi. Vlastníctvo kaštieľa v roku 1944 prechádza na</w:t>
      </w:r>
      <w:r>
        <w:rPr>
          <w:rFonts w:ascii="Cambria" w:hAnsi="Cambria" w:cs="Cambria"/>
          <w:sz w:val="24"/>
          <w:szCs w:val="24"/>
        </w:rPr>
        <w:t xml:space="preserve"> jeho adoptívneho syna Jozefa Ha</w:t>
      </w:r>
      <w:r w:rsidRPr="00253CDC">
        <w:rPr>
          <w:rFonts w:ascii="Cambria" w:hAnsi="Cambria" w:cs="Cambria"/>
          <w:sz w:val="24"/>
          <w:szCs w:val="24"/>
        </w:rPr>
        <w:t>sselmana. Z miestnej kroniky sa dozvedáme, že v roku 1945 bol skonfiškovaný majetok vdovy po Hasselmanovi a ešte v tom roku sa v kaštieli zriadil detský domov. Po sedemnástich rokoch sa presťahoval do Serede a 15. mája 1962 po prestavbe kaštieľa bol nahradený Domovom mládeže s kapacitou 45 chovaniek vo veku od 15-18 rokov. Bola tam zriadená Základná deväťročná škola a jednoročný učebný pomer – šička. Dňom 1.9.1962 bola zriadená  Učňovská škola s učebným odborom krajčírka a šička, kapacita chovaniek sa rozšírila na 54. Do Reedukačného domova pre mládež boli zaradené dievčatá v rámci mentálnej subnormy so súdom nariadenou ústavnou alebo ochrannou výchovou. Od 24.7.1996 poverením Krajského úradu v Trnave je RDM štátnou rozpočtovou organizáciou s právnou subjektivitou.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Dňom 1.9.2008 sa zmenil jeho názov na Reedukačné centrum, ktorého súčasťou sú Špeciálna základná škola a Odborné učilište.</w:t>
      </w: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Materiálno-technické a priestorové podmienky</w:t>
      </w:r>
      <w:r>
        <w:rPr>
          <w:rFonts w:ascii="Cambria" w:hAnsi="Cambria" w:cs="Cambria"/>
          <w:b/>
          <w:bCs/>
          <w:sz w:val="24"/>
          <w:szCs w:val="24"/>
        </w:rPr>
        <w:t xml:space="preserve"> zariadenia</w:t>
      </w:r>
    </w:p>
    <w:p w:rsidR="00557CF2" w:rsidRPr="00253CDC" w:rsidRDefault="00557CF2" w:rsidP="00253CDC">
      <w:pPr>
        <w:ind w:firstLine="36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Budova reedukačného centra sa skladá z dvoch častí, staršieho renesančného  kaštieľa, tzv. starej budovy a novšej prístavby, tzv. novej budovy. Tieto názvy sa v tomto zariadení oficiálne používajú. Stará budova je trojpodlažná, na prízemí je veľká jedáleň pre chovanky, z ktorej sa ide na terasu s výhľadom na park, malá jedáleň, ktorá je určená na stravovanie pracovníkov. Vedľa jedálne je sklad telocvičného náradia a oblečenia a sociálne zariadenia. Na prízemí je aj spoločná sprcháreň, ktorú využívajú žiačky ubytované v starej budove. Na prvom poschodí sa nachádza spoločenská miestnosť, ktorá zároveň slúži v dopoludňajších hodinách ako telovýchovný priestor a v popoludňajších  hodinách ako klubovňa jednej z výchovných skupín. Ďalej sú tam ďalšie dve klubovne, kancelária vedúcej výchovy a miestnosť určená  pre vychovávateľov. Druhé poschodie je  spálňovou časťou, nachádza sa tu 6 obytných izieb s kapacitou 35 lôžok. Ďalej tu je jedna klubovňa a miestnosť určená pre nočné vychovávateľky. Čo sa týka sociálnych zariadení, na chodbe je jedno spoločné, aj to len s jednou sprchou a tromi WC. Žiačky  sa  väčšinou  sprchujú na prízemí.</w:t>
      </w:r>
    </w:p>
    <w:p w:rsidR="00557CF2" w:rsidRPr="00253CDC" w:rsidRDefault="00557CF2" w:rsidP="00253CDC">
      <w:pPr>
        <w:ind w:firstLine="36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Nová budova je dvojpodlažná, na prízemí je kuchyňa, skladové priestory, škola, ktorá disponuje 5 učebňami, zborovňou, knižnicou, dvomi internetovými miestnosťami a kuchynkou. Na poschodí je spálňová časť so šiestimi izbami s kapacitou 20 lôžok. V tejto časti sú ubytované maloleté chovanky. Každá izba ma vlastné sociálne zariadenie s WC a umývadlom. Sprchy sú spoločné hneď na chodbe vedľa izieb.  Nachádza sa tu tiež zdravotná izolácia a ochranná a relaxačná miestnosť využívaná v rámci  ochranných opatrení. V tejto časti budovy sa nachádza miestnosť psychologičky a zdravotnej sestry.</w:t>
      </w:r>
    </w:p>
    <w:p w:rsidR="00557CF2" w:rsidRPr="00253CDC" w:rsidRDefault="00557CF2" w:rsidP="00253CDC">
      <w:pPr>
        <w:pStyle w:val="ListParagraph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Vlastné zameranie školy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Odborné učilište v Trstíne inštitucionálne zabezpečuje profesionálnu prípravu mentálne postihnutej m</w:t>
      </w:r>
      <w:r>
        <w:rPr>
          <w:rFonts w:ascii="Cambria" w:hAnsi="Cambria" w:cs="Cambria"/>
          <w:sz w:val="24"/>
          <w:szCs w:val="24"/>
        </w:rPr>
        <w:t>ládeže umiestnenej v Reedukačnom</w:t>
      </w:r>
      <w:r w:rsidRPr="00253CDC">
        <w:rPr>
          <w:rFonts w:ascii="Cambria" w:hAnsi="Cambria" w:cs="Cambria"/>
          <w:sz w:val="24"/>
          <w:szCs w:val="24"/>
        </w:rPr>
        <w:t xml:space="preserve"> centre v Trstíne. Reedukačné centrum je podľa § 120 zákona č. 245/2008 Z. z. o výchove a vzdelávaní (školský zákon) a o zmene a doplnení niektorých zákonov </w:t>
      </w:r>
      <w:r>
        <w:rPr>
          <w:rFonts w:ascii="Cambria" w:hAnsi="Cambria" w:cs="Cambria"/>
          <w:sz w:val="24"/>
          <w:szCs w:val="24"/>
        </w:rPr>
        <w:t xml:space="preserve">, </w:t>
      </w:r>
      <w:r w:rsidRPr="00253CDC">
        <w:rPr>
          <w:rFonts w:ascii="Cambria" w:hAnsi="Cambria" w:cs="Cambria"/>
          <w:sz w:val="24"/>
          <w:szCs w:val="24"/>
        </w:rPr>
        <w:t>špeciálne výchovné zariadenie. Podľa § 122 ods. 1 školského zákona reedukačné centrum na základe výchovnovzdelávacieho programu a individuálneho programu poskytuje deťom do veku  18 (v prípade, ak je to v záujme dieťaťa do 19) rokov  výchovu a vzdelávanie vrátane prípravy na povolanie s cieľom ich opätovného začlenenia do pôvodného sociálneho prostredia na žiadosť dieťaťa.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Umiestňovanie detí</w:t>
      </w:r>
      <w:r w:rsidRPr="00253CDC">
        <w:rPr>
          <w:rFonts w:ascii="Cambria" w:hAnsi="Cambria" w:cs="Cambria"/>
          <w:sz w:val="24"/>
          <w:szCs w:val="24"/>
        </w:rPr>
        <w:t xml:space="preserve"> do reedukačného centra sa uskutočňuje podľa § 122 ods. 2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školského zákona. Podľa neho môžu byť do reedukačného centra deti prijímané na základe :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a/ žiadosti zákonného zástupcu;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b/ dohody so zariadením, v ktorom sa vykonáva rozhodnutie súdu 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c/ predbežného opatrenia súdu podľa osobitného predpisu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d/ rozhodnutím súdu o uložení ochrannej výchovy podľa § 102 Trestného zákona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e/ rozhodnutím súdu o uložení výchovného opatrenia podľa § 37 ods. 2 zákona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č. 36/2005 Z. z. o rodine a o zmene a doplnení niektorých zákonov v znení neskorších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predpisov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f/ rozhodnutím súdu o nariadení ústavnej starostlivosti podľa § 54 zákona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o rodine (podľa § 54 ods. 2 zákona č. 36/2005 Z. z. o rodine a o zmene a doplnení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niektorých zákonov v znení neskorších predpisov).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Naša škola vychováva a vzdeláva žiakov zo špeciálnych základných škôl, špeciálnych tried základných škôl a integrov</w:t>
      </w:r>
      <w:r>
        <w:rPr>
          <w:rFonts w:ascii="Cambria" w:hAnsi="Cambria" w:cs="Cambria"/>
        </w:rPr>
        <w:t>aných žiakov zo základných škôl</w:t>
      </w:r>
      <w:r w:rsidRPr="00253CDC">
        <w:rPr>
          <w:rFonts w:ascii="Cambria" w:hAnsi="Cambria" w:cs="Cambria"/>
        </w:rPr>
        <w:t xml:space="preserve">, ktorým bola nariadená ústavná starostlivosť,  v trojročných učebných odboroch a je určená pre  dievčatá. Zakončením štúdia, získaním výučného listu absolventi majú možnosť sa úspešne integrovať do spoločnosti a uplatniť sa na trhu práce. 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Na základe analýzy práce školy sme identifikovali všetky pozitíva a negatíva školy, ktoré nám signalizovali, čo všetko máme zmeniť a čo ponechať - tak, aby náš výchovno-vzdelávací proces mal stále vyššiu kvalitatívnu úroveň. </w:t>
      </w: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Personálne zabezpečenie a charakteristika pedagogického zboru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Stabilné jadro kolektívu tvoria kvalifikovaní špeciálni pedagógovia, ktorí pôsobia v škole viac rokov. Pedagogický zbor má cca 10 zamestnancov (vrátane riaditeľa), sedem učiteľov a tri majsterky odborného výcviku.  Ich počet závisí od konkrétnej presnej potreby v danom školskom roku podľa počtu žiakov.</w:t>
      </w:r>
      <w:r>
        <w:rPr>
          <w:rFonts w:ascii="Cambria" w:hAnsi="Cambria" w:cs="Cambria"/>
          <w:sz w:val="24"/>
          <w:szCs w:val="24"/>
        </w:rPr>
        <w:t xml:space="preserve"> Pedagogický zbor tvoria ženy aj</w:t>
      </w:r>
      <w:r w:rsidRPr="00253CDC">
        <w:rPr>
          <w:rFonts w:ascii="Cambria" w:hAnsi="Cambria" w:cs="Cambria"/>
          <w:sz w:val="24"/>
          <w:szCs w:val="24"/>
        </w:rPr>
        <w:t xml:space="preserve"> muži  od mladých absolventov až po skúsených kolegov. Všetci pedagógovia majú vysokoškolské pedagogické vzdelanie, niektorí si dopĺňajú kvalifikáciu štúdiom špeciálnej pedagogiky. Pedagogickí zamestnanci sa ďalej vzdelávajú v rôznych oblastiach v súlade s potrebami školy a nadobudnuté skúsenosti, zručnosti a vedomosti uplatňujú pri práci so žiakmi. </w:t>
      </w: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Požiadavky na kontinuálne vzdelávanie pedagogických a odborných zamestnancov</w:t>
      </w:r>
    </w:p>
    <w:p w:rsidR="00557CF2" w:rsidRPr="00253CDC" w:rsidRDefault="00557CF2" w:rsidP="00CB04AA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prípravu pedagogických zamestnancov na zvyšovanie si svojich kompetencií (schopnosti pracovať s IKT, jazykové spôsobilosti...),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uvádzanie začínajúcich učiteľov do pedagogickej praxe,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zdokonaľovanie osobnostných vlastností pedagogických zamestnancov: spôsobilostí pre tvorbu efektívnych vzťahov, riešenie konfliktov, komunikáciu..., </w:t>
      </w:r>
    </w:p>
    <w:p w:rsidR="00557CF2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prípravu pedagogických zamestnancov pre výkon činností nevyhnutných pre rozvoj školského systému: pedagogický výskum, tvorba ŠkVP,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prípravu pedagogických zamestnancov na tvorbu školského vzdelávacieho programu,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motivovanie pedagógov pre neustále sebavzdelávanie, zdokonaľovanie v profesijnej spôsobilosti,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prípravu pedagógov na výkon špecializovaných funkcií: triedny učiteľ, výchovný poradca, predseda metodického združenia, koordinátor protidrogovej prevencie...,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sprostredkovanie najnovších informácií z metodiky vyučovania jednotlivých predmetov, pedagogiky </w:t>
      </w:r>
      <w:r>
        <w:rPr>
          <w:rFonts w:ascii="Cambria" w:hAnsi="Cambria" w:cs="Cambria"/>
        </w:rPr>
        <w:t>a príbuzných vied, ako aj z dan</w:t>
      </w:r>
      <w:r w:rsidRPr="00253CDC">
        <w:rPr>
          <w:rFonts w:ascii="Cambria" w:hAnsi="Cambria" w:cs="Cambria"/>
        </w:rPr>
        <w:t xml:space="preserve">ého odboru, </w:t>
      </w:r>
    </w:p>
    <w:p w:rsidR="00557CF2" w:rsidRPr="00253CDC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prípravu pedagogických zamestnancov s modernými technickými prostriedkami (multimédia,výpočtová technika, videotechnika...), </w:t>
      </w:r>
    </w:p>
    <w:p w:rsidR="00557CF2" w:rsidRDefault="00557CF2" w:rsidP="00CB04AA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 sprostredkovanie operatívneho transferu odbo</w:t>
      </w:r>
      <w:r>
        <w:rPr>
          <w:rFonts w:ascii="Cambria" w:hAnsi="Cambria" w:cs="Cambria"/>
        </w:rPr>
        <w:t>rných a metodických informácií.</w:t>
      </w:r>
    </w:p>
    <w:p w:rsidR="00557CF2" w:rsidRDefault="00557CF2" w:rsidP="00CB04AA">
      <w:pPr>
        <w:pStyle w:val="Default"/>
        <w:spacing w:line="276" w:lineRule="auto"/>
        <w:ind w:left="720"/>
        <w:jc w:val="both"/>
        <w:rPr>
          <w:rFonts w:ascii="Cambria" w:hAnsi="Cambria" w:cs="Cambria"/>
        </w:rPr>
      </w:pPr>
    </w:p>
    <w:p w:rsidR="00557CF2" w:rsidRDefault="00557CF2" w:rsidP="00253CDC">
      <w:pPr>
        <w:pStyle w:val="Default"/>
        <w:spacing w:after="25" w:line="276" w:lineRule="auto"/>
        <w:ind w:left="720"/>
        <w:jc w:val="both"/>
        <w:rPr>
          <w:rFonts w:ascii="Cambria" w:hAnsi="Cambria" w:cs="Cambria"/>
        </w:rPr>
      </w:pPr>
    </w:p>
    <w:p w:rsidR="00557CF2" w:rsidRPr="00253CDC" w:rsidRDefault="00557CF2" w:rsidP="00253CDC">
      <w:pPr>
        <w:pStyle w:val="Default"/>
        <w:spacing w:after="25" w:line="276" w:lineRule="auto"/>
        <w:ind w:left="720"/>
        <w:jc w:val="both"/>
        <w:rPr>
          <w:rFonts w:ascii="Cambria" w:hAnsi="Cambria" w:cs="Cambria"/>
        </w:rPr>
      </w:pPr>
    </w:p>
    <w:p w:rsidR="00557CF2" w:rsidRPr="00253CDC" w:rsidRDefault="00557CF2" w:rsidP="00253CDC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Vnútorný systém kontroly a hodnotenia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Vnútorný systém hodnotenia kvality zameriavame na 3 oblasti:</w:t>
      </w:r>
    </w:p>
    <w:p w:rsidR="00557CF2" w:rsidRPr="00253CDC" w:rsidRDefault="00557CF2" w:rsidP="00CB04AA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žiakov</w:t>
      </w:r>
    </w:p>
    <w:p w:rsidR="00557CF2" w:rsidRPr="00253CDC" w:rsidRDefault="00557CF2" w:rsidP="00CB04AA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pedagogických zamestnancov</w:t>
      </w:r>
    </w:p>
    <w:p w:rsidR="00557CF2" w:rsidRDefault="00557CF2" w:rsidP="00CB04AA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školy</w:t>
      </w:r>
    </w:p>
    <w:p w:rsidR="00557CF2" w:rsidRPr="004940F7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Hodnotenie vzdelávacích výsledkov práce žiakov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prebieha v </w:t>
      </w:r>
      <w:r>
        <w:rPr>
          <w:rFonts w:ascii="Cambria" w:hAnsi="Cambria" w:cs="Cambria"/>
          <w:sz w:val="24"/>
          <w:szCs w:val="24"/>
        </w:rPr>
        <w:t>súlade s metodickým pokynom č.33</w:t>
      </w:r>
      <w:r w:rsidRPr="00253CDC">
        <w:rPr>
          <w:rFonts w:ascii="Cambria" w:hAnsi="Cambria" w:cs="Cambria"/>
          <w:sz w:val="24"/>
          <w:szCs w:val="24"/>
        </w:rPr>
        <w:t xml:space="preserve">/2011 na hodnotenie žiakov </w:t>
      </w:r>
      <w:r>
        <w:rPr>
          <w:rFonts w:ascii="Cambria" w:hAnsi="Cambria" w:cs="Cambria"/>
          <w:sz w:val="24"/>
          <w:szCs w:val="24"/>
        </w:rPr>
        <w:t>odborných učilíšť</w:t>
      </w:r>
      <w:r w:rsidRPr="00253CDC">
        <w:rPr>
          <w:rFonts w:ascii="Cambria" w:hAnsi="Cambria" w:cs="Cambria"/>
          <w:sz w:val="24"/>
          <w:szCs w:val="24"/>
        </w:rPr>
        <w:t>, vydaným  Ministerstvom školstva, vedy, výskumu a športu Slovenskej republiky.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Cieľom hodnotenia vzd</w:t>
      </w:r>
      <w:r>
        <w:rPr>
          <w:rFonts w:ascii="Cambria" w:hAnsi="Cambria" w:cs="Cambria"/>
          <w:sz w:val="24"/>
          <w:szCs w:val="24"/>
        </w:rPr>
        <w:t>elávacích výsledkov žiakov v OU</w:t>
      </w:r>
      <w:r w:rsidRPr="00253CDC">
        <w:rPr>
          <w:rFonts w:ascii="Cambria" w:hAnsi="Cambria" w:cs="Cambria"/>
          <w:sz w:val="24"/>
          <w:szCs w:val="24"/>
        </w:rPr>
        <w:t xml:space="preserve"> je poskytnúť žiakovi, jeho rodičom, zákonným zástupcom a vychovávateľom  spätnú väzbu o tom, ako žiak zvládol danú problematiku, v čom má nedostatky, kde má rezervy a aké sú jeho pokroky. Dôraz sa kladie na analýzu nedostatkov, hľadanie príčin zlyhávania žiakov a dôsledné plánovanie odstraňovania týchto nedostatkov.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Cieľom je prepojenie nadobu</w:t>
      </w:r>
      <w:r>
        <w:rPr>
          <w:rFonts w:ascii="Cambria" w:hAnsi="Cambria" w:cs="Cambria"/>
          <w:sz w:val="24"/>
          <w:szCs w:val="24"/>
        </w:rPr>
        <w:t>dnutých vedomostí so zručnosťami a ich uplatňovanie</w:t>
      </w:r>
      <w:r w:rsidRPr="00253CDC">
        <w:rPr>
          <w:rFonts w:ascii="Cambria" w:hAnsi="Cambria" w:cs="Cambria"/>
          <w:sz w:val="24"/>
          <w:szCs w:val="24"/>
        </w:rPr>
        <w:t xml:space="preserve"> v bežnom živote.</w:t>
      </w: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Vnútorný systém kontroly a hodnotenia pedagogických zamestnancov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Cieľom vnútorného systému kontroly a hodnotenia zamestnancov školy je :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Zvyšovanie profesijných kompetencií a kvality činnosti pedagogických zamestnancov a primerané ocenenie ich práce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vytvorenie princípov odmeňovania pedagogických zamestnancov , v ktorom sa uplatní odmeňovanie v nadväznosti na systém vzdelávania</w:t>
      </w:r>
    </w:p>
    <w:p w:rsidR="00557CF2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Identifikácia individuálnych potrieb pedagogických zamestnancov v súlade s rozvojom jednotlivca a rozvojom školy a zariadenia.</w:t>
      </w:r>
    </w:p>
    <w:p w:rsidR="00557CF2" w:rsidRPr="00253CDC" w:rsidRDefault="00557CF2" w:rsidP="00CB04AA">
      <w:pPr>
        <w:pStyle w:val="ListParagraph"/>
        <w:spacing w:after="0"/>
        <w:ind w:left="357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Systém kontroly a hodnotenia bude prebiehať na základe poznatkov získaných :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Pozorovaním, hospitačnou činnosťou, individuálnymi rozhovormi, analýzou predpísaných písomných prác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Referenciami od žiakov, a iných odborných zamestnancov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Vyhodnocovaním dosahovaných výchovno-vyučovacích výsledkov</w:t>
      </w:r>
    </w:p>
    <w:p w:rsidR="00557CF2" w:rsidRPr="00253CDC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Hodnotením činnosti</w:t>
      </w:r>
      <w:r w:rsidRPr="00253CDC">
        <w:rPr>
          <w:rFonts w:ascii="Cambria" w:hAnsi="Cambria" w:cs="Cambria"/>
          <w:sz w:val="24"/>
          <w:szCs w:val="24"/>
        </w:rPr>
        <w:t xml:space="preserve"> pedagóga v oblasti ďalšieho vzdelávania</w:t>
      </w:r>
    </w:p>
    <w:p w:rsidR="00557CF2" w:rsidRDefault="00557CF2" w:rsidP="00CB04AA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Vyhodnocovaním plnenia činností</w:t>
      </w:r>
      <w:r w:rsidRPr="00253CDC">
        <w:rPr>
          <w:rFonts w:ascii="Cambria" w:hAnsi="Cambria" w:cs="Cambria"/>
          <w:sz w:val="24"/>
          <w:szCs w:val="24"/>
        </w:rPr>
        <w:t xml:space="preserve"> zadaných nad rámec pracovných úloh</w:t>
      </w:r>
    </w:p>
    <w:p w:rsidR="00557CF2" w:rsidRPr="00253CDC" w:rsidRDefault="00557CF2" w:rsidP="00CB04AA">
      <w:pPr>
        <w:pStyle w:val="ListParagraph"/>
        <w:spacing w:after="0"/>
        <w:ind w:left="357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Jedenkrát ročne budú tieto poznatky zhrnuté v Hodnotení pedagogických zamestnancov. </w:t>
      </w:r>
    </w:p>
    <w:p w:rsidR="00557CF2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Hodnotenie školy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Vlastné hodnotenie školy je zamerané na:</w:t>
      </w: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Personálne podmienky vzdelávania</w:t>
      </w:r>
    </w:p>
    <w:p w:rsidR="00557CF2" w:rsidRPr="00253CDC" w:rsidRDefault="00557CF2" w:rsidP="00CB04AA">
      <w:pPr>
        <w:pStyle w:val="ListParagraph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Odborná spôsobilosť pedagogických zamestnancov a systém ďalšieho vzdelávania</w:t>
      </w:r>
    </w:p>
    <w:p w:rsidR="00557CF2" w:rsidRPr="00253CDC" w:rsidRDefault="00557CF2" w:rsidP="00CB04AA">
      <w:pPr>
        <w:pStyle w:val="ListParagraph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Organizácia činnosti školy a informačný systém</w:t>
      </w:r>
    </w:p>
    <w:p w:rsidR="00557CF2" w:rsidRPr="00253CDC" w:rsidRDefault="00557CF2" w:rsidP="00CB04AA">
      <w:pPr>
        <w:pStyle w:val="ListParagraph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Klíma školy</w:t>
      </w:r>
    </w:p>
    <w:p w:rsidR="00557CF2" w:rsidRDefault="00557CF2" w:rsidP="00CB04AA">
      <w:pPr>
        <w:pStyle w:val="ListParagraph"/>
        <w:numPr>
          <w:ilvl w:val="0"/>
          <w:numId w:val="12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Kritériá hodnotenia práce zamestnancov</w:t>
      </w:r>
    </w:p>
    <w:p w:rsidR="00557CF2" w:rsidRPr="00253CDC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Materiálno-technické podmienky vzdelávania</w:t>
      </w:r>
    </w:p>
    <w:p w:rsidR="00557CF2" w:rsidRPr="00253CDC" w:rsidRDefault="00557CF2" w:rsidP="00CB04AA">
      <w:pPr>
        <w:pStyle w:val="ListParagraph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Prostredie školy</w:t>
      </w:r>
    </w:p>
    <w:p w:rsidR="00557CF2" w:rsidRPr="00253CDC" w:rsidRDefault="00557CF2" w:rsidP="00CB04AA">
      <w:pPr>
        <w:pStyle w:val="ListParagraph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Vybavenie školy učebnicami, pomôckami, didaktickou technikou</w:t>
      </w:r>
    </w:p>
    <w:p w:rsidR="00557CF2" w:rsidRDefault="00557CF2" w:rsidP="00CB04AA">
      <w:pPr>
        <w:pStyle w:val="ListParagraph"/>
        <w:numPr>
          <w:ilvl w:val="0"/>
          <w:numId w:val="13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Účelnosť a efektívnosť využívania materiálnych zdrojov</w:t>
      </w:r>
    </w:p>
    <w:p w:rsidR="00557CF2" w:rsidRPr="00253CDC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Priebeh vzdelávania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Organizácia a obsah vyučovania vzhľadom k cieľom vzdelávania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Plánovanie a bezprostredná príprava na vyučovací proces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Použité vyučovacie metódy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Psychohygiena a jej dodržiavanie v rámci vyučovacieho procesu u žiakov a zamestnancov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Materiá</w:t>
      </w:r>
      <w:r>
        <w:rPr>
          <w:rFonts w:ascii="Cambria" w:hAnsi="Cambria" w:cs="Cambria"/>
          <w:sz w:val="24"/>
          <w:szCs w:val="24"/>
        </w:rPr>
        <w:t>lna</w:t>
      </w:r>
      <w:r w:rsidRPr="00253CDC">
        <w:rPr>
          <w:rFonts w:ascii="Cambria" w:hAnsi="Cambria" w:cs="Cambria"/>
          <w:sz w:val="24"/>
          <w:szCs w:val="24"/>
        </w:rPr>
        <w:t xml:space="preserve"> podpora výučby</w:t>
      </w:r>
    </w:p>
    <w:p w:rsidR="00557CF2" w:rsidRPr="00253CDC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Interakcia a vzájomná komunikácia žiakov a pedagogických zamestnancov</w:t>
      </w:r>
    </w:p>
    <w:p w:rsidR="00557CF2" w:rsidRDefault="00557CF2" w:rsidP="00CB04AA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Dodržiavanie</w:t>
      </w:r>
      <w:r w:rsidRPr="00253CDC">
        <w:rPr>
          <w:rFonts w:ascii="Cambria" w:hAnsi="Cambria" w:cs="Cambria"/>
          <w:sz w:val="24"/>
          <w:szCs w:val="24"/>
        </w:rPr>
        <w:t xml:space="preserve"> základných ľudských práv a práv detí v súlade s príslušnými záväznými dokumentmi</w:t>
      </w:r>
    </w:p>
    <w:p w:rsidR="00557CF2" w:rsidRPr="00253CDC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Výsledky vzdelávania zisťované školou</w:t>
      </w:r>
    </w:p>
    <w:p w:rsidR="00557CF2" w:rsidRPr="00253CDC" w:rsidRDefault="00557CF2" w:rsidP="00CB04AA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Rozbor výsledkov vzdelávania a účinnosť následne prijatých opatrení školou</w:t>
      </w:r>
    </w:p>
    <w:p w:rsidR="00557CF2" w:rsidRPr="00253CDC" w:rsidRDefault="00557CF2" w:rsidP="00CB04AA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Zapojenie školy do projektov, ich následné praktické využívanie a efektivita</w:t>
      </w:r>
    </w:p>
    <w:p w:rsidR="00557CF2" w:rsidRDefault="00557CF2" w:rsidP="00CB04AA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Zachovávanie tradícií školy a</w:t>
      </w:r>
      <w:r>
        <w:rPr>
          <w:rFonts w:ascii="Cambria" w:hAnsi="Cambria" w:cs="Cambria"/>
          <w:sz w:val="24"/>
          <w:szCs w:val="24"/>
        </w:rPr>
        <w:t> </w:t>
      </w:r>
      <w:r w:rsidRPr="00253CDC">
        <w:rPr>
          <w:rFonts w:ascii="Cambria" w:hAnsi="Cambria" w:cs="Cambria"/>
          <w:sz w:val="24"/>
          <w:szCs w:val="24"/>
        </w:rPr>
        <w:t>zariadenia</w:t>
      </w:r>
    </w:p>
    <w:p w:rsidR="00557CF2" w:rsidRPr="00253CDC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Nástroje hodnotenia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Testy zisťujúce vedomosti a zručnosti žiakov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Hospitácie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Pozorovanie prevádzky školy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Diskusia, brainstorming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SWOT analýza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Rozhovor so žiakmi, rodičmi, zákonnými zástupcami  a zamestnancami školy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Správa o výchovno-vzdelávacej činnosti jej výsledkoch a podmienkach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Správy o školskej inšpekcii, správy o vykonaných kontrolách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Záznamy zo zasadnutia pedagogickej rady, pracovných stretnutí a porád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Záznamy zo zasadnutia Rady školského zariadenia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školy zriaďovateľom</w:t>
      </w:r>
    </w:p>
    <w:p w:rsidR="00557CF2" w:rsidRPr="00253CDC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Hodnotenie žiakov na súťažiach, olympiádach , prezentáciách, prehliadkach a predstaveniach a prezentácia školy v médiách</w:t>
      </w:r>
    </w:p>
    <w:p w:rsidR="00557CF2" w:rsidRDefault="00557CF2" w:rsidP="00CB04AA">
      <w:pPr>
        <w:pStyle w:val="ListParagraph"/>
        <w:numPr>
          <w:ilvl w:val="0"/>
          <w:numId w:val="16"/>
        </w:numPr>
        <w:spacing w:after="0"/>
        <w:ind w:left="1077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Sledovanie profesijného rastu zamestnancov</w:t>
      </w:r>
    </w:p>
    <w:p w:rsidR="00557CF2" w:rsidRPr="00253CDC" w:rsidRDefault="00557CF2" w:rsidP="00CB04AA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253CDC">
      <w:pPr>
        <w:pStyle w:val="Default"/>
        <w:numPr>
          <w:ilvl w:val="0"/>
          <w:numId w:val="1"/>
        </w:numPr>
        <w:spacing w:after="25" w:line="276" w:lineRule="auto"/>
        <w:jc w:val="both"/>
        <w:rPr>
          <w:rFonts w:ascii="Cambria" w:hAnsi="Cambria" w:cs="Cambria"/>
          <w:b/>
          <w:bCs/>
        </w:rPr>
      </w:pPr>
      <w:r w:rsidRPr="00253CDC">
        <w:rPr>
          <w:rFonts w:ascii="Cambria" w:hAnsi="Cambria" w:cs="Cambria"/>
          <w:b/>
          <w:bCs/>
        </w:rPr>
        <w:t>Dlhodobé projekty a spolupráca s rodičmi a inými subjektmi</w:t>
      </w:r>
    </w:p>
    <w:p w:rsidR="00557CF2" w:rsidRPr="00253CDC" w:rsidRDefault="00557CF2" w:rsidP="00146F60">
      <w:pPr>
        <w:pStyle w:val="Default"/>
        <w:spacing w:after="25" w:line="276" w:lineRule="auto"/>
        <w:ind w:left="720"/>
        <w:jc w:val="both"/>
        <w:rPr>
          <w:rFonts w:ascii="Cambria" w:hAnsi="Cambria" w:cs="Cambria"/>
          <w:b/>
          <w:bCs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 škole sa realizuje projekt pod názvom „</w:t>
      </w:r>
      <w:r w:rsidRPr="00253CDC">
        <w:rPr>
          <w:rFonts w:ascii="Cambria" w:hAnsi="Cambria" w:cs="Cambria"/>
          <w:sz w:val="24"/>
          <w:szCs w:val="24"/>
        </w:rPr>
        <w:t>Školský svet nezvädne</w:t>
      </w:r>
      <w:r>
        <w:rPr>
          <w:rFonts w:ascii="Cambria" w:hAnsi="Cambria" w:cs="Cambria"/>
          <w:sz w:val="24"/>
          <w:szCs w:val="24"/>
        </w:rPr>
        <w:t xml:space="preserve">“, ktorého cieľom je modernizácia vyučovacieho procesu. Pedagogickí zamestnanci vytvorili učebný materiál s využívaním IKT, učebnice a iné pomôcky na zlepšenia edukačného procesu v škole. Ďalšími sú projekty vychádzajúce  z </w:t>
      </w:r>
      <w:r w:rsidRPr="00253CDC">
        <w:rPr>
          <w:rFonts w:ascii="Cambria" w:hAnsi="Cambria" w:cs="Cambria"/>
          <w:sz w:val="24"/>
          <w:szCs w:val="24"/>
        </w:rPr>
        <w:t>aktuálnych výziev nadácií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Spolupráca s rodičmi a zákonnými zástupcami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Škola stavia na otvorenom partnerstve s rodičmi a zákonným </w:t>
      </w:r>
      <w:r>
        <w:rPr>
          <w:rFonts w:ascii="Cambria" w:hAnsi="Cambria" w:cs="Cambria"/>
          <w:sz w:val="24"/>
          <w:szCs w:val="24"/>
        </w:rPr>
        <w:t>zástupcami. Triedne schôdze sa z</w:t>
      </w:r>
      <w:r w:rsidRPr="00253CDC">
        <w:rPr>
          <w:rFonts w:ascii="Cambria" w:hAnsi="Cambria" w:cs="Cambria"/>
          <w:sz w:val="24"/>
          <w:szCs w:val="24"/>
        </w:rPr>
        <w:t> dôvodu celoslovenského pôsobenia reedukačného centra</w:t>
      </w:r>
      <w:r>
        <w:rPr>
          <w:rFonts w:ascii="Cambria" w:hAnsi="Cambria" w:cs="Cambria"/>
          <w:sz w:val="24"/>
          <w:szCs w:val="24"/>
        </w:rPr>
        <w:t>, pri ktorom je zriadené OU</w:t>
      </w:r>
      <w:r w:rsidRPr="00253CDC">
        <w:rPr>
          <w:rFonts w:ascii="Cambria" w:hAnsi="Cambria" w:cs="Cambria"/>
          <w:sz w:val="24"/>
          <w:szCs w:val="24"/>
        </w:rPr>
        <w:t xml:space="preserve"> ne</w:t>
      </w:r>
      <w:r>
        <w:rPr>
          <w:rFonts w:ascii="Cambria" w:hAnsi="Cambria" w:cs="Cambria"/>
          <w:sz w:val="24"/>
          <w:szCs w:val="24"/>
        </w:rPr>
        <w:t xml:space="preserve">organizujú. Komunikácia školy </w:t>
      </w:r>
      <w:r w:rsidRPr="00253CDC">
        <w:rPr>
          <w:rFonts w:ascii="Cambria" w:hAnsi="Cambria" w:cs="Cambria"/>
          <w:sz w:val="24"/>
          <w:szCs w:val="24"/>
        </w:rPr>
        <w:t>s rodičmi a zákonnými zástupcami prebieha formou individuálnych pohovorov. Podrobnosti o výkone práva povinností zákonných zástupcov upravuje Školský poriadok zariadenia.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Škola  ďalej spol</w:t>
      </w:r>
      <w:r>
        <w:rPr>
          <w:rFonts w:ascii="Cambria" w:hAnsi="Cambria" w:cs="Cambria"/>
          <w:sz w:val="24"/>
          <w:szCs w:val="24"/>
        </w:rPr>
        <w:t>upracuje s</w:t>
      </w:r>
      <w:r w:rsidRPr="00253CDC">
        <w:rPr>
          <w:rFonts w:ascii="Cambria" w:hAnsi="Cambria" w:cs="Cambria"/>
          <w:sz w:val="24"/>
          <w:szCs w:val="24"/>
        </w:rPr>
        <w:t xml:space="preserve"> :</w:t>
      </w:r>
    </w:p>
    <w:p w:rsidR="00557CF2" w:rsidRPr="00253CDC" w:rsidRDefault="00557CF2" w:rsidP="00253CDC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Zriaďovateľom – Okresným úradom v Trnave </w:t>
      </w:r>
    </w:p>
    <w:p w:rsidR="00557CF2" w:rsidRPr="00253CDC" w:rsidRDefault="00557CF2" w:rsidP="00253CDC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Radou školského zariadenia  pri Reedukačnom centre v Trstíne</w:t>
      </w:r>
    </w:p>
    <w:p w:rsidR="00557CF2" w:rsidRPr="00253CDC" w:rsidRDefault="00557CF2" w:rsidP="00253CDC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 príslušnými Úradmi práce, </w:t>
      </w:r>
      <w:r>
        <w:rPr>
          <w:rFonts w:ascii="Cambria" w:hAnsi="Cambria" w:cs="Cambria"/>
          <w:sz w:val="24"/>
          <w:szCs w:val="24"/>
        </w:rPr>
        <w:t xml:space="preserve">sociálnych vecí a rodiny, ktoré </w:t>
      </w:r>
      <w:r w:rsidRPr="00253CDC">
        <w:rPr>
          <w:rFonts w:ascii="Cambria" w:hAnsi="Cambria" w:cs="Cambria"/>
          <w:sz w:val="24"/>
          <w:szCs w:val="24"/>
        </w:rPr>
        <w:t>monitorujú ži</w:t>
      </w:r>
      <w:r>
        <w:rPr>
          <w:rFonts w:ascii="Cambria" w:hAnsi="Cambria" w:cs="Cambria"/>
          <w:sz w:val="24"/>
          <w:szCs w:val="24"/>
        </w:rPr>
        <w:t>akov, aktualizujú údaje o žiakoch</w:t>
      </w:r>
      <w:r w:rsidRPr="00253CDC">
        <w:rPr>
          <w:rFonts w:ascii="Cambria" w:hAnsi="Cambria" w:cs="Cambria"/>
          <w:sz w:val="24"/>
          <w:szCs w:val="24"/>
        </w:rPr>
        <w:t xml:space="preserve"> a ich sociáln</w:t>
      </w:r>
      <w:r>
        <w:rPr>
          <w:rFonts w:ascii="Cambria" w:hAnsi="Cambria" w:cs="Cambria"/>
          <w:sz w:val="24"/>
          <w:szCs w:val="24"/>
        </w:rPr>
        <w:t>ych podmienkach a starostlivosť</w:t>
      </w:r>
      <w:r w:rsidRPr="00253CDC">
        <w:rPr>
          <w:rFonts w:ascii="Cambria" w:hAnsi="Cambria" w:cs="Cambria"/>
          <w:sz w:val="24"/>
          <w:szCs w:val="24"/>
        </w:rPr>
        <w:t xml:space="preserve"> zo strany rodičov</w:t>
      </w:r>
    </w:p>
    <w:p w:rsidR="00557CF2" w:rsidRPr="00253CDC" w:rsidRDefault="00557CF2" w:rsidP="00253CDC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Občianskym združením Združenie priaznivcov Reedukačného domova pre mládež v Trstíne</w:t>
      </w:r>
    </w:p>
    <w:p w:rsidR="00557CF2" w:rsidRPr="00253CDC" w:rsidRDefault="00557CF2" w:rsidP="00253CDC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ŠZŠ  zriadenou</w:t>
      </w:r>
      <w:r w:rsidRPr="00253CDC">
        <w:rPr>
          <w:rFonts w:ascii="Cambria" w:hAnsi="Cambria" w:cs="Cambria"/>
          <w:sz w:val="24"/>
          <w:szCs w:val="24"/>
        </w:rPr>
        <w:t xml:space="preserve"> pri Reedukačnom  centre v Trstíne</w:t>
      </w:r>
    </w:p>
    <w:p w:rsidR="00557CF2" w:rsidRPr="00253CDC" w:rsidRDefault="00557CF2" w:rsidP="00253CDC">
      <w:pPr>
        <w:pStyle w:val="ListParagraph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PROFIL ABSOLVENTA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Charakteristika absolventa</w:t>
      </w:r>
    </w:p>
    <w:p w:rsidR="00557CF2" w:rsidRPr="00253CDC" w:rsidRDefault="00557CF2" w:rsidP="009851FA">
      <w:pPr>
        <w:pStyle w:val="Default"/>
        <w:spacing w:line="276" w:lineRule="auto"/>
        <w:ind w:firstLine="708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Učebný odbor pripravuje pracovníkov s kvalifikáciou robotníckeho povolania v odbore opatrovateľská starostlivosť v zdravotníckych zariadeniach a v zariadeniach sociálnej starostlivosti, ktorý je zameraný na sanitárske práce a opatrovateľské služby.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Učebný odbor sa zameriava na hygienickú starostlivosť o chodiacich a ležiacich chorých, starých ľudí a detí, polohovanie, pomoc pri obliekaní a vyzliekaní, pomoc pri prekladaní chorých, starých ľudí pripútaných na lôžko, podkladanie močových fliaš a podložných mís, sprevádzanie na ošetrenie a vyšetrenie, starostlivosť o voľný čas detí, starých a chorých ľudí, roznášanie odobratého materiálu, prípravu obväzového materiálu, starostlivosť o hygienu a dezinfekciu izieb, pomôcok a zariadenia, úpravu postele, práce s bielizňou, práce v čajovej kuchynke, prípravu a triedenie surovín na varenie, roznášanie jedál, kŕmenie a základnú prvú pomoc. </w:t>
      </w:r>
    </w:p>
    <w:p w:rsidR="00557CF2" w:rsidRPr="00253CDC" w:rsidRDefault="00557CF2" w:rsidP="009851FA">
      <w:pPr>
        <w:pStyle w:val="Default"/>
        <w:spacing w:line="276" w:lineRule="auto"/>
        <w:ind w:firstLine="708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Pri práci dodržiava zásady bezpečnosti a ochrany zdravia pri práci, zásady pož</w:t>
      </w:r>
      <w:r>
        <w:rPr>
          <w:rFonts w:ascii="Cambria" w:hAnsi="Cambria" w:cs="Cambria"/>
        </w:rPr>
        <w:t xml:space="preserve">iarnej ochrany. </w:t>
      </w:r>
      <w:r w:rsidRPr="00253CDC">
        <w:rPr>
          <w:rFonts w:ascii="Cambria" w:hAnsi="Cambria" w:cs="Cambria"/>
        </w:rPr>
        <w:t xml:space="preserve">Absolvent nadobudne praktické zručnosti v činnostiach zaradených do pracovnej náplne nižšieho zdravotníckeho zamestnanca v zdravotníckych a sociálnych zariadeniach. </w:t>
      </w:r>
    </w:p>
    <w:p w:rsidR="00557CF2" w:rsidRPr="00253CDC" w:rsidRDefault="00557CF2" w:rsidP="009851FA">
      <w:pPr>
        <w:pStyle w:val="Default"/>
        <w:spacing w:line="276" w:lineRule="auto"/>
        <w:ind w:firstLine="708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Absolventa charakterizuje kladný vzťah k práci a povolaniu, pracovná disciplína a svedomitosť pri plnení úloh. Absolventi musia byť pripravení na vstup do života, adekvátne sa zapojiť nielen do pracovného, ale i spoločenského diania. To predpokladá vypestovanie a upevnenie patričných pracovných, mravných návykov a morálnych vlastností. </w:t>
      </w:r>
    </w:p>
    <w:p w:rsidR="00557CF2" w:rsidRDefault="00557CF2" w:rsidP="009851FA">
      <w:pPr>
        <w:spacing w:after="0"/>
        <w:ind w:firstLine="708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Absolvent trojročného učebného odboru po ukončení štúdia úspešne vykonanou záverečnou skúškou získava kvalifikáciu na úrovni nižšieho stredného odborného vzdelania. Vykonaním ZS získajú naši absolventi na jednej strane odbornú kvalifikáciu a kompetenciu vykonávať pracovné činnosti v danom povolaní a na druhej strane majú možnosť získať kvalifikáciu v rekvalifikačných kurzoch. </w:t>
      </w:r>
      <w:r w:rsidRPr="00253CDC">
        <w:rPr>
          <w:rFonts w:ascii="Cambria" w:hAnsi="Cambria" w:cs="Cambria"/>
          <w:b/>
          <w:bCs/>
          <w:sz w:val="24"/>
          <w:szCs w:val="24"/>
        </w:rPr>
        <w:t>Získaný výučný list, vysvedčenie o záverečnej skúške a dodatok k vysvedčeniu o záverečnej skúške potvrdzuje v plnom rozsahu ich dosiahnuté kompetencie – odbornú kvalifikáciu.</w:t>
      </w:r>
    </w:p>
    <w:p w:rsidR="00557CF2" w:rsidRPr="00253CDC" w:rsidRDefault="00557CF2" w:rsidP="009851FA">
      <w:pPr>
        <w:spacing w:after="0"/>
        <w:ind w:firstLine="708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Kompetencia absolventa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a) Komunikatívne a sociálno-interakčné spôsobilosti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 :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vedieť si zvoliť jednoduchý spôsob (priamy alebo sprostredkovaný – napr. telefónom), prostriedky a intonáciu ústneho prejavu so zreteľom na osobu, s ktorou hovorí,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pozorne počúvať rozhovor a zapájať sa do jednoduchých diskusií,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jednoduchým spôsobom zdôvodňovať svoje názory, interpretovať prečítaný alebo vypočutý text,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tvoriť jednoduché písomné prejavy, štylizovať jednoduché listy (formálne, neformálne), krátke informačné útvary (inzerát, oznam), vyplňovať bežné formuláre (životopis, žiadosť),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viesť jednoduché číselné záznamy využiteľné v osobnom živote a v povolaní,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ovládať jednoduchú počítačovú komunikáciu na úrovni spotrebiteľa,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vyhľadávať s pomocou učiteľa alebo rodiča jednoduché informácie prostredníctvom počítača, kníh, novín, časopisov,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navrhovať s pomocou učiteľa bežné jednoduché návody k činnostiam, </w:t>
      </w:r>
    </w:p>
    <w:p w:rsidR="00557CF2" w:rsidRPr="00253CDC" w:rsidRDefault="00557CF2" w:rsidP="00253CDC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pochopiť a s podporou učiteľa vyhodnocovať svoju účasť na procese vzdelávania a jeho výsledku, ktorý zabezpečuje právo voľného pohybu občana, právo žiť, študovať a pracovať v podmienkach otvoreného trhu práce.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b) Intrapersonálne a interpersonálne spôsobilosti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podieľať sa na stanovení zodpovedajúcich jednoduchých krátkodobých cieľov, ktoré smerujú k zlepšeniu vlastnej výkonnosti,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overovať a interpretovať získané jednoduché údaje primerane k svojim schopnostiam,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rozvíjať pomocou učiteľa vlastnú aktivitu, samostatnosť, sebapoznanie, sebadôveru a reproduktívne myslenie,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predkladať s podporou učiteľa jednoduché návrhy na výkon práce, za ktorú je zodpovedný,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zamerať vlastnú činnosť s podporou učiteľa na dodržiavanie osobnej zodpovednosti a dosiahnutie spoločného skupinového cieľa,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vytvárať dobré vzťahy v kolektíve,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dodržiavať zadané pracovné metódy a postupy, organizovať s pomocou učiteľa vlastnú činnosť tak, aby prijal svoju zodpovednosť,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pracovať a zapájať sa do práce kolektívu,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stanovovať si ciele podľa svojich osobných schopností, záujmov, pracovnej orientácie a životných podmienok,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mať zodpovedný vzťah k svojmu zdraviu, starať sa o svoj fyzický a duševný rozvoj, byť si vedomý dôsledkov nezdravého životného štýlu a závislostí, </w:t>
      </w:r>
    </w:p>
    <w:p w:rsidR="00557CF2" w:rsidRPr="00253CDC" w:rsidRDefault="00557CF2" w:rsidP="00253CDC">
      <w:pPr>
        <w:pStyle w:val="Default"/>
        <w:numPr>
          <w:ilvl w:val="0"/>
          <w:numId w:val="2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prispievať k vytváraniu dobrých medziľudských vzťahov, predchádzať osobným konfliktom, nepodliehať predsudkom a stereotypom v prístupe k druhým.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c) Schopnosť riešiť problémy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získavať a vnímať jednoduché informácie o základných problémoch pracovného a mimopracovného života,</w:t>
      </w:r>
    </w:p>
    <w:p w:rsidR="00557CF2" w:rsidRPr="00253CDC" w:rsidRDefault="00557CF2" w:rsidP="00253CDC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s podporou učiteľa porozumieť jednoduchým dôsledkovým vzťahom a príčinám, vyvolávajúcim problémové situácie, </w:t>
      </w:r>
    </w:p>
    <w:p w:rsidR="00557CF2" w:rsidRPr="00253CDC" w:rsidRDefault="00557CF2" w:rsidP="00253CDC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využívať pod vedením učiteľa jednoduché návody a postupy, ktoré obsahujú základné informácie použiteľné alebo nepoužiteľné pri objasňovaní podstaty problému, </w:t>
      </w:r>
    </w:p>
    <w:p w:rsidR="00557CF2" w:rsidRPr="00253CDC" w:rsidRDefault="00557CF2" w:rsidP="00253CDC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zhromažďovať s pomocou učiteľa elementárne informácie potrebné na objasnenie problému a na stanovenie najjednoduchšieho riešenia.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9851FA">
        <w:rPr>
          <w:rFonts w:ascii="Cambria" w:hAnsi="Cambria" w:cs="Cambria"/>
          <w:b/>
          <w:bCs/>
        </w:rPr>
        <w:t>d)</w:t>
      </w:r>
      <w:r w:rsidRPr="00253CDC">
        <w:rPr>
          <w:rFonts w:ascii="Cambria" w:hAnsi="Cambria" w:cs="Cambria"/>
          <w:b/>
          <w:bCs/>
        </w:rPr>
        <w:t xml:space="preserve">Podnikateľské spôsobilosti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účelne a ekonomicky zaobchádzať s finančnými a materiálnymi prostriedkami,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chápať prácu ako sebarealizáciu, sebauspokojenie a prínos pre seba,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byť čestný, otvorený, spravodlivý, spoľahlivý a dôveryhodný,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chápať princípy sociálnej spravodlivosti a rovnosti, oceňovať druhých,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pod vedením učiteľa rozpoznávať zásady konštruktívnej kritiky, vedieť primerane kritizovať, ale aj znášať kritiku od druhých,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rozpoznávať a uznať si vlastné chyby,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s pomocou učiteľa vedieť sa učiť, vzdelávať a zdokonaľovať sa,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vedieť pozorne počúvať iných, pýtať sa, formulovať, vyjadrovať sa, </w:t>
      </w:r>
    </w:p>
    <w:p w:rsidR="00557CF2" w:rsidRPr="00253CDC" w:rsidRDefault="00557CF2" w:rsidP="00253CDC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pod vedením učiteľa rozvíjať v sebe schopnosť sebakontroly emócií a schopnosť pracovať aj v stresových situáciách, vytvárať si návyk ovládať sa a dosiahnuť všeobecnú kultúrnu úroveň.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e) Spôsobilosť využívať informačné technológie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zoznámiť sa za podpory učiteľa s počítačom, jeho základnými časťami a jednoduchým spôsobom obsluhy,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naučiť sa s pomocou učiteľa uviesť do činnosti počítač a spustiť jednoduchý aplikačný program,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oboznamovať sa s informáciami o bezpečnosti a ochrane zdravia pri práci s počítačom,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naučiť sa s pomocou učiteľa vyhľadávať jednoduché vhodné informačné zdroje a získavať potrebné informácie v danom odbore štúdia,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zaznamenávať si a uchovávať informácie pod vedením učiteľa tak, aby ich mohol využiť pri práci, </w:t>
      </w:r>
    </w:p>
    <w:p w:rsidR="00557CF2" w:rsidRPr="00253CDC" w:rsidRDefault="00557CF2" w:rsidP="00253C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s podporou učiteľa evidovať, triediť a zoraďovať jednoduché pracovné informácie podľa bežných požiadaviek v jeho profesi</w:t>
      </w:r>
      <w:r>
        <w:rPr>
          <w:rFonts w:ascii="Cambria" w:hAnsi="Cambria" w:cs="Cambria"/>
        </w:rPr>
        <w:t>i,</w:t>
      </w:r>
      <w:r w:rsidRPr="00253CDC">
        <w:rPr>
          <w:rFonts w:ascii="Cambria" w:hAnsi="Cambria" w:cs="Cambria"/>
        </w:rPr>
        <w:t xml:space="preserve"> komunikovať prostredníctvom elektronických médií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f) Spôsobilosť byť demokratickým občanom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chápať problémy zachovania mieru, bezpečnosti jednotlivcov, národov a štátov, zachovávania a ochrany životného prostredia, vyčerpania nerastných surovín, liečenia civilizačných chorôb, populačnej explózie v rozvojových krajinách, drogovej závislosti najmä mladistvých, sexuálnej výchovy a pozitívne pristupovať k riešeniu týchto problémov, </w:t>
      </w:r>
    </w:p>
    <w:p w:rsidR="00557CF2" w:rsidRPr="00253CDC" w:rsidRDefault="00557CF2" w:rsidP="00253CDC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chápať pojmy spravodlivosť, ľudské práva a zodpovednosť, </w:t>
      </w:r>
    </w:p>
    <w:p w:rsidR="00557CF2" w:rsidRPr="00253CDC" w:rsidRDefault="00557CF2" w:rsidP="00253CDC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dodržiavať zákony, rešpektovať práva a osobnosť druhých ľudí, ich kultúrne špecifiká, vystupovať proti neznášanlivosti, xenofóbii a diskriminácii, </w:t>
      </w:r>
    </w:p>
    <w:p w:rsidR="00557CF2" w:rsidRPr="00253CDC" w:rsidRDefault="00557CF2" w:rsidP="00253CDC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konať v súlade s morálnymi princípmi a zásadami spoločenského správania, prispievať k uplatňovaniu hodnôt demokracie, </w:t>
      </w:r>
    </w:p>
    <w:p w:rsidR="00557CF2" w:rsidRPr="00253CDC" w:rsidRDefault="00557CF2" w:rsidP="00253CDC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uvedomovať si vlastnú kultúrnu, národnú a osobnostnú identitu, pristupovať s toleranciou k identite druhých, </w:t>
      </w:r>
    </w:p>
    <w:p w:rsidR="00557CF2" w:rsidRPr="00253CDC" w:rsidRDefault="00557CF2" w:rsidP="00253CDC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zaujímať sa o politické a spoločenské dianie u nás a vo svete, uznávať tradície a hodnoty svojho národa.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VŠEOBECNÉ KOMPETENCIE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riešiť jednoduché situácie, používať vhodné výrazové prostriedky, vhodne reagovať na vopred nenacvičenú jednoduchú situáciu,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vhodným jednoduchým spôsobom vyjadrovať svoj úmysel, prezentovať sám seba, podávať a získavať ústne alebo písomne jednoduchú požadovanú informáciu všeobecného charakteru, hovoriť krátko a súvislo na danú tému,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používať jednoduché postupy a jazykové prostriedky v hovorovom štýle, ovládať základy jednoduchého a nenáročného administratívneho a odborného štýlu,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pracovať s Pravidlami slovenského pravopisu a inými príručkami za pomoci učiteľa,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chápať význam jazykovej kultúry, rozdiely medzi spisovným jazykom a ostatnými útvarmi národného jazyka,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vnímať literatúru ako predmet esteticko-výchovného charakteru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oboznámiť sa s nevyhnutnosťou zapojiť sa do spoločenskej praxe a mať prospech zo získavania vedomostí a zručností po celý život,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primerane ovládať základné schopnosti potrebné na sebapoznávanie a sebaovládanie,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mať základné schopnosti potrebné pre styk s ľuďmi, ovládať a uplatňovať základy spoločenského správania,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hodnotiť celospoločenské javy ako je chudoba, gamblerstvo, drogy, terorizmus, globalizácia sveta, novodobé choroby,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osvojiť si potrebu zodpovedného, mravného rozhodovania a riadiť sa všeobecne uznávanými mravnými a právnymi zásadami a normami,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vedieť, ako a kam sa obrátiť pri vymáhaní si svojich práv, rozvíjať úroveň svojho právneho vedomia,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rozvíjať morálne a vôľové vlastnosti, akými sú kritickosť, húževnatosť, samostatnosť a primerané sebavedomie,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vytvoriť si pozitívny vzťah ku kultúrnym hodnotám, prírode a životnému prostrediu a podieľať sa na ich ochrane,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rozumieť základným matematickým pojmom, poznať základné vzťahy medzi nimi a obsah najjednoduchších matematických operácií,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vyhľadávať, triediť a používať jednoduché matematické informácie potrebné pre bežnú profesijnú situáciu,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a používať základné jednoduché postupy pri riešení úloh budúcej praxe,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mať základné poznatky o číslach,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vytvoriť si jednoduchú predstavu o ľudskom organizme ako celku z hľadiska stavby a funkcie,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zásady správnej životosprávy, v zmysle aktívneho zdravia a zdravého životného štýlu,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splniť požiadavky všeobecnej pohybovej výkonnosti a ovládať cvičenia zodpovedajúce jeho psychomotorickým predpokladom, </w:t>
      </w:r>
    </w:p>
    <w:p w:rsidR="00557CF2" w:rsidRPr="00253CDC" w:rsidRDefault="00557CF2" w:rsidP="00253CDC">
      <w:pPr>
        <w:pStyle w:val="Default"/>
        <w:numPr>
          <w:ilvl w:val="0"/>
          <w:numId w:val="34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uvedomovať si význam telesného a pohybového zdokonaľovania, vnímať krásu pohybu, prostredia, ľudských vzťahov, </w:t>
      </w:r>
    </w:p>
    <w:p w:rsidR="00557CF2" w:rsidRDefault="00557CF2" w:rsidP="00253CDC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prejavovať zmysel pre fair-play, kolektívnu spoluprácu a vzájomnú pomoc, najmä postihnutým jednotlivcom, či menej pohybovo nadaným, zabrániť úrazu a poskytnúť prvú pomoc pri úraze.</w:t>
      </w:r>
    </w:p>
    <w:p w:rsidR="00557CF2" w:rsidRDefault="00557CF2" w:rsidP="00E94F67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E94F67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ODBORNÉ KOMPETENCIE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Požadované vedomosti: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má: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zásady bezpečnosti práce a ochrany zdravia pri práci,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vedomosti o príprave pracoviska a vytvorení podmienok pre prácu,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vedomosti o potrebe dodržania a záväznosti technologického postupu,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normy a normalizáciu v svojom odbore,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vyhodnotiť kvalitu práce, vykonať záverečnú kontrolu práce a jej správnosti,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základné pravidlá správania k životnému prostrediu a zásady jeho ochrany pred možnými negatívnymi vplyvmi,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druhy a použitie materiálu, inventáru, strojov a zariadení používaných vo svojom odbore,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základné spôsoby použitia a ochrany materiálov vo svojom odbore,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poznať zásady čistoty a hygieny na pracovisku,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pomenovať a uviesť spôsoby aktívnej sociálnej komunikácie </w:t>
      </w:r>
    </w:p>
    <w:p w:rsidR="00557CF2" w:rsidRPr="00253CDC" w:rsidRDefault="00557CF2" w:rsidP="00253CDC">
      <w:pPr>
        <w:pStyle w:val="Default"/>
        <w:numPr>
          <w:ilvl w:val="0"/>
          <w:numId w:val="36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orientovať sa v právnych formách podnikania, </w:t>
      </w:r>
    </w:p>
    <w:p w:rsidR="00557CF2" w:rsidRPr="00253CDC" w:rsidRDefault="00557CF2" w:rsidP="00253CDC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pochopiť úlohu čítania a literatúry v spoločnosti, kultúre a vzdelávaní.</w:t>
      </w:r>
    </w:p>
    <w:p w:rsidR="00557CF2" w:rsidRPr="00253CDC" w:rsidRDefault="00557CF2" w:rsidP="00253CDC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Požadované zručnosti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Absolvent vie: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citlivo a taktne komunikovať s ľuďmi,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jednoduché spôsoby spracovania materiálov vo svojom odbore,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pracovať so štandardným ručným náradím používaných vo svojom odbore,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pracovať s mechanickým náradím používaných vo svojom odbore,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aplikovať zásady čistoty a hygieny na pracovisku,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zásady bezpečnosti práce a ochrany zdravia pri práci,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uplatňovať etické princípy profesie v správaní a konaní,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aplikovať získané teoretické poznatky a využívať ich pri riešení pracovných problémov, </w:t>
      </w:r>
    </w:p>
    <w:p w:rsidR="00557CF2" w:rsidRPr="00253CDC" w:rsidRDefault="00557CF2" w:rsidP="00253CDC">
      <w:pPr>
        <w:pStyle w:val="Default"/>
        <w:numPr>
          <w:ilvl w:val="0"/>
          <w:numId w:val="38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využívať informačné médiá pri vyhľadávaní pracovných príležitostí, </w:t>
      </w:r>
    </w:p>
    <w:p w:rsidR="00557CF2" w:rsidRPr="00253CDC" w:rsidRDefault="00557CF2" w:rsidP="00253CDC">
      <w:pPr>
        <w:pStyle w:val="ListParagraph"/>
        <w:numPr>
          <w:ilvl w:val="0"/>
          <w:numId w:val="38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zosúlaďovať vlastné priority s požiadavkami pre výkon povolania a možnosťami rozširovania kvalifikácie absolvovaním rekvalifikačných kurzov.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9851FA" w:rsidRDefault="00557CF2" w:rsidP="009851FA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CHARAKTERISTIKA ŠKOLSKÉHO VZDELÁVACIEHO PROGRAMU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>Dĺžka štúdia:</w:t>
      </w:r>
      <w:r w:rsidRPr="00253CDC">
        <w:rPr>
          <w:rFonts w:ascii="Cambria" w:hAnsi="Cambria" w:cs="Cambria"/>
        </w:rPr>
        <w:t xml:space="preserve"> 3 roky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>Forma vzdelávania:</w:t>
      </w:r>
      <w:r w:rsidRPr="00253CDC">
        <w:rPr>
          <w:rFonts w:ascii="Cambria" w:hAnsi="Cambria" w:cs="Cambria"/>
        </w:rPr>
        <w:t xml:space="preserve"> denná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>Spôsoby a podmienky ukončenia štúdia</w:t>
      </w:r>
      <w:r w:rsidRPr="00253CDC">
        <w:rPr>
          <w:rFonts w:ascii="Cambria" w:hAnsi="Cambria" w:cs="Cambria"/>
        </w:rPr>
        <w:t>: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Odborné učilište patrí do siete stredného špeciálneho školstva. Zriaďovateľom školy je Okresný  úrad Trnava</w:t>
      </w:r>
      <w:r>
        <w:rPr>
          <w:rFonts w:ascii="Cambria" w:hAnsi="Cambria" w:cs="Cambria"/>
        </w:rPr>
        <w:t>.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Poslaním školy je profesijná príprava mládeže s mentálnym postihnutím 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Vzdelávací program pre skupinu učebných odborov odborných učilíšť pre žiakov s mentálnym postihnutím je vytvorený v súlade s Medzinárodnou normou pre klasifikáciu vzdelávania ( International Standard ClassificationofEducation – ISCED 97).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ISCED 2C zodpovedá nižšiemu strednému odbornému vzdelávaniu a umožňuje absolventom odborného učilišťa získať vedomosti, zručnosti a postoje na výkon súboru jednoduchých, nenáročných a ľahko ovládateľných metód práce a pracovných činností.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  <w:b/>
          <w:bCs/>
        </w:rPr>
      </w:pPr>
      <w:r w:rsidRPr="00253CDC">
        <w:rPr>
          <w:rFonts w:ascii="Cambria" w:hAnsi="Cambria" w:cs="Cambria"/>
          <w:b/>
          <w:bCs/>
        </w:rPr>
        <w:t xml:space="preserve">Doklad </w:t>
      </w:r>
      <w:r>
        <w:rPr>
          <w:rFonts w:ascii="Cambria" w:hAnsi="Cambria" w:cs="Cambria"/>
          <w:b/>
          <w:bCs/>
        </w:rPr>
        <w:t xml:space="preserve">o </w:t>
      </w:r>
      <w:r w:rsidRPr="00253CDC">
        <w:rPr>
          <w:rFonts w:ascii="Cambria" w:hAnsi="Cambria" w:cs="Cambria"/>
          <w:b/>
          <w:bCs/>
        </w:rPr>
        <w:t>získanom vzdelaní: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Úspešným absolvovaním posledného ročníka OU môže žiak získať nižšie stredné odborné vzdelanie, ktoré sa podľa stupňa zvládnutia príslušných kritérií výkonov člení na: </w:t>
      </w:r>
    </w:p>
    <w:p w:rsidR="00557CF2" w:rsidRPr="004940F7" w:rsidRDefault="00557CF2" w:rsidP="00253CDC">
      <w:pPr>
        <w:pStyle w:val="Default"/>
        <w:spacing w:line="276" w:lineRule="auto"/>
        <w:jc w:val="both"/>
        <w:rPr>
          <w:rFonts w:ascii="Cambria" w:hAnsi="Cambria" w:cs="Cambria"/>
          <w:b/>
          <w:bCs/>
        </w:rPr>
      </w:pPr>
      <w:r w:rsidRPr="004940F7">
        <w:rPr>
          <w:rFonts w:ascii="Cambria" w:hAnsi="Cambria" w:cs="Cambria"/>
          <w:b/>
          <w:bCs/>
        </w:rPr>
        <w:t xml:space="preserve">a/ zaškolenie: dokladom o získanom vzdelaní je vysvedčenie a osvedčenie o zaškolení, </w:t>
      </w:r>
    </w:p>
    <w:p w:rsidR="00557CF2" w:rsidRPr="004940F7" w:rsidRDefault="00557CF2" w:rsidP="00253CDC">
      <w:pPr>
        <w:pStyle w:val="Default"/>
        <w:spacing w:line="276" w:lineRule="auto"/>
        <w:jc w:val="both"/>
        <w:rPr>
          <w:rFonts w:ascii="Cambria" w:hAnsi="Cambria" w:cs="Cambria"/>
          <w:b/>
          <w:bCs/>
        </w:rPr>
      </w:pPr>
      <w:r w:rsidRPr="004940F7">
        <w:rPr>
          <w:rFonts w:ascii="Cambria" w:hAnsi="Cambria" w:cs="Cambria"/>
          <w:b/>
          <w:bCs/>
        </w:rPr>
        <w:t xml:space="preserve">b/ zaučenie: dokladom o získanom vzdelaní je vysvedčenie a osvedčenie o zaučení, </w:t>
      </w:r>
    </w:p>
    <w:p w:rsidR="00557CF2" w:rsidRPr="004940F7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4940F7">
        <w:rPr>
          <w:rFonts w:ascii="Cambria" w:hAnsi="Cambria" w:cs="Cambria"/>
          <w:b/>
          <w:bCs/>
          <w:sz w:val="24"/>
          <w:szCs w:val="24"/>
        </w:rPr>
        <w:t>c/ vyučenie: dokladom o získanom vzdelaní je vysvedčenie o záverečnej skúške, dodatok k vysvedčeniu o záverečnej skúške a výučný list.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Do odborného učilišťa sa prijímajú žiaci s mentálnym postihnutím alebo žiaci s mentálnym postihnutím v kombinácii s iným zdravotným postihnutím, ktorí ukončili vzdelávanie v poslednom ročníku špeciálnej základnej školy alebo špeciálnej triedy základnej školy alebo uko</w:t>
      </w:r>
      <w:r>
        <w:rPr>
          <w:rFonts w:ascii="Cambria" w:hAnsi="Cambria" w:cs="Cambria"/>
          <w:sz w:val="24"/>
          <w:szCs w:val="24"/>
        </w:rPr>
        <w:t>nčili povinnú školskú dochádzku a sú umiestnení v Reedukačnom centre Trstín.</w:t>
      </w:r>
      <w:r w:rsidRPr="00253CDC">
        <w:rPr>
          <w:rFonts w:ascii="Cambria" w:hAnsi="Cambria" w:cs="Cambria"/>
          <w:sz w:val="24"/>
          <w:szCs w:val="24"/>
        </w:rPr>
        <w:t xml:space="preserve"> Pri práci so žiakmi so špeciálnymi výchovno-vzdelávacími potrebami sa pristupuje s ohľadom na odporučenie špeciálnych pedagógov a psychológov vo vzťahu k individuálnym potrebám žiaka, k stupňu a typu poruchy, úrovni kompenzácie poruchy a možnostiam školy. Pre tento učebný odbor sa vyžaduje zdravotný preukaz.</w:t>
      </w:r>
    </w:p>
    <w:p w:rsidR="00557CF2" w:rsidRPr="009851FA" w:rsidRDefault="00557CF2" w:rsidP="009851FA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9851FA">
        <w:rPr>
          <w:rFonts w:ascii="Cambria" w:hAnsi="Cambria" w:cs="Cambria"/>
          <w:b/>
          <w:bCs/>
          <w:sz w:val="24"/>
          <w:szCs w:val="24"/>
        </w:rPr>
        <w:t xml:space="preserve">Stratégie výučby 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 jazykovej oblasti je vzdelávanie a príprava zameraná na slovnú a písomnú komunikáciu, ovládanie oznamovacieho odborného prejavu v slovenskom jazyku, na vyjadrovanie sa v bežných situáciách spoločenského a pracovného styku. Žiaci sa tiež oboznamujú so základnými princípmi etiky a zásadami spoločenského správania. Osvojujú si základy matematiky a informatiky. Vzhľadom na absenciu </w:t>
      </w:r>
      <w:r>
        <w:rPr>
          <w:rFonts w:ascii="Cambria" w:hAnsi="Cambria" w:cs="Cambria"/>
          <w:sz w:val="24"/>
          <w:szCs w:val="24"/>
        </w:rPr>
        <w:t>pozitívnych rodičovských vzorov a zlyhávanie</w:t>
      </w:r>
      <w:r w:rsidRPr="00253CDC">
        <w:rPr>
          <w:rFonts w:ascii="Cambria" w:hAnsi="Cambria" w:cs="Cambria"/>
          <w:sz w:val="24"/>
          <w:szCs w:val="24"/>
        </w:rPr>
        <w:t xml:space="preserve"> rodičovskej starostlivosti zo strany rodičov je v rámci učebného plánu zavedená výučba Základov rodinnej výchovy.  V odbornom vzdelávaní v odbore opatrovateľská starostlivosť je príprava zameraná na oblasť technológie opatrovateľských služieb, hygieny, biológie človeka a pod. V rámci </w:t>
      </w:r>
      <w:r>
        <w:rPr>
          <w:rFonts w:ascii="Cambria" w:hAnsi="Cambria" w:cs="Cambria"/>
          <w:sz w:val="24"/>
          <w:szCs w:val="24"/>
        </w:rPr>
        <w:t>praktickej prípravy</w:t>
      </w:r>
      <w:r w:rsidRPr="00253CDC">
        <w:rPr>
          <w:rFonts w:ascii="Cambria" w:hAnsi="Cambria" w:cs="Cambria"/>
          <w:sz w:val="24"/>
          <w:szCs w:val="24"/>
        </w:rPr>
        <w:t xml:space="preserve"> žiaci získavajú teoretické a praktické zručnosti na úseku opatrovateľských služieb. Veľký dôraz sa kladie na rozvoj osobnosti žiaka, na formovanie ich osobnostných a profesionálnych vlastností, postojov a hodnotovej orientácie.</w:t>
      </w:r>
    </w:p>
    <w:p w:rsidR="00557CF2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9851FA">
        <w:rPr>
          <w:rFonts w:ascii="Cambria" w:hAnsi="Cambria" w:cs="Cambria"/>
          <w:b/>
          <w:bCs/>
          <w:sz w:val="24"/>
          <w:szCs w:val="24"/>
        </w:rPr>
        <w:t>Klasifikácia a hodnotenie</w:t>
      </w:r>
    </w:p>
    <w:p w:rsidR="00557CF2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Klasifikácia a hodnotenie </w:t>
      </w:r>
      <w:r w:rsidRPr="00253CDC">
        <w:rPr>
          <w:rFonts w:ascii="Cambria" w:hAnsi="Cambria" w:cs="Cambria"/>
          <w:sz w:val="24"/>
          <w:szCs w:val="24"/>
        </w:rPr>
        <w:t>žiakov prebieha v súlade s Metodickým pokynom č. 33/ 2011 na hodnotenie a klasifikáciu žiakov odborných učilíšť, ktoré vydalo ministerstvo školstva, vedy, výskumu a športu Slovenskej republiky. Výsledky žiakov sa hodnotia priebežne na základe kritérií, s primeranou náročnosťou s akceptovaním všetkých špeciálno-pedagogických potrieb žiakov. Podklady pre hodnotenie sa získavajú sústavným sledovaním výkonu žiaka a jeho pripravenosti na vyučovanie rôznymi metódami a prostriedkami hodnotenia, analýzou činnosti žiaka, konzultáciami s ostatnými špeciálnymi pedagóg</w:t>
      </w:r>
      <w:r>
        <w:rPr>
          <w:rFonts w:ascii="Cambria" w:hAnsi="Cambria" w:cs="Cambria"/>
          <w:sz w:val="24"/>
          <w:szCs w:val="24"/>
        </w:rPr>
        <w:t xml:space="preserve">mi vrátane výchovného poradcu - </w:t>
      </w:r>
      <w:r w:rsidRPr="00253CDC">
        <w:rPr>
          <w:rFonts w:ascii="Cambria" w:hAnsi="Cambria" w:cs="Cambria"/>
          <w:sz w:val="24"/>
          <w:szCs w:val="24"/>
        </w:rPr>
        <w:t>školského psychológa, zamestnancov centra špeciálno - pedagogického poradenstva, rozhovormi so žiakom a jeho rodičmi. Pri hodnotení sa využívajú kritériá hodnotenia na zabezpečenie jeho objektivity. Žiaci sú s hodnotením oboznámení.</w:t>
      </w:r>
    </w:p>
    <w:p w:rsidR="00557CF2" w:rsidRPr="009851FA" w:rsidRDefault="00557CF2" w:rsidP="00253CDC">
      <w:pPr>
        <w:jc w:val="both"/>
        <w:rPr>
          <w:rFonts w:ascii="Cambria" w:hAnsi="Cambria" w:cs="Cambria"/>
          <w:sz w:val="24"/>
          <w:szCs w:val="24"/>
        </w:rPr>
      </w:pPr>
    </w:p>
    <w:p w:rsidR="00557CF2" w:rsidRPr="009851FA" w:rsidRDefault="00557CF2" w:rsidP="00E94F67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9851FA">
        <w:rPr>
          <w:rFonts w:ascii="Cambria" w:hAnsi="Cambria" w:cs="Cambria"/>
          <w:b/>
          <w:bCs/>
          <w:sz w:val="24"/>
          <w:szCs w:val="24"/>
        </w:rPr>
        <w:t>PODMIENKY NA REALIZÁCIU VZDELÁVACIEHO PROGRAMU</w:t>
      </w:r>
    </w:p>
    <w:p w:rsidR="00557CF2" w:rsidRPr="00253CDC" w:rsidRDefault="00557CF2" w:rsidP="00253CDC">
      <w:pPr>
        <w:pStyle w:val="ListParagraph"/>
        <w:numPr>
          <w:ilvl w:val="0"/>
          <w:numId w:val="4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 xml:space="preserve">Priestorové podmienky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Škola sa nachádza v v prístavbe kaštieľa, v tzv. novej budov, má dve podlažia. Na prízemí je zborovňa,  knižnica, štyri učebne, dve počítačové učebne, kuchynka, sociálne zariadenia pre žiačky, tri sklady 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Na poschodí je riaditeľňa, jedna učebňa , kancelária sociálnej pracovníčky, kabinet školských potrieb a sociálne zariadenia pre zamestnancov.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Pre realizáciu ŠkVP je škola vybavená: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dve učebne vybavené  novým nábytkom,  tri učebne vybavené starším nábytkom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špeciálne učebne vybavené príslušným zariadením – kuchynka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odborné počítačové učebne vybavení príslušnou IKT technikou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školský pozemok vybavený vhodným náradím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knižnica pre žiakov a zamestnancov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pre vedenie školy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pre uskladnenie učebníc, učebných pomôcok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archív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spoločné priestory pre hygienu žiakov a zamestnancov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pre odborných zamestnancov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pre administratívnych zamestnancov</w:t>
      </w:r>
    </w:p>
    <w:p w:rsidR="00557CF2" w:rsidRPr="00253CDC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pre pedagogických zamestnancov</w:t>
      </w:r>
    </w:p>
    <w:p w:rsidR="00557CF2" w:rsidRDefault="00557CF2" w:rsidP="00E94F67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priestory na telovýchovné činnosti – využívajú priestory internátu</w:t>
      </w:r>
    </w:p>
    <w:p w:rsidR="00557CF2" w:rsidRPr="00253CDC" w:rsidRDefault="00557CF2" w:rsidP="00E94F67">
      <w:pPr>
        <w:pStyle w:val="ListParagraph"/>
        <w:spacing w:after="0"/>
        <w:ind w:left="357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Praktická príprava</w:t>
      </w:r>
      <w:r w:rsidRPr="00253CDC">
        <w:rPr>
          <w:rFonts w:ascii="Cambria" w:hAnsi="Cambria" w:cs="Cambria"/>
          <w:b/>
          <w:bCs/>
          <w:sz w:val="24"/>
          <w:szCs w:val="24"/>
        </w:rPr>
        <w:t xml:space="preserve"> sa realizuje :</w:t>
      </w:r>
    </w:p>
    <w:p w:rsidR="00557CF2" w:rsidRPr="00253CDC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 Zariadení sociálnych</w:t>
      </w:r>
      <w:r w:rsidRPr="00253CDC">
        <w:rPr>
          <w:rFonts w:ascii="Cambria" w:hAnsi="Cambria" w:cs="Cambria"/>
          <w:sz w:val="24"/>
          <w:szCs w:val="24"/>
        </w:rPr>
        <w:t xml:space="preserve"> služieb v Senici</w:t>
      </w:r>
    </w:p>
    <w:p w:rsidR="00557CF2" w:rsidRPr="00253CDC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 priestoroch RC</w:t>
      </w:r>
    </w:p>
    <w:p w:rsidR="00557CF2" w:rsidRPr="00253CDC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AE46B0">
        <w:rPr>
          <w:rFonts w:ascii="Cambria" w:hAnsi="Cambria" w:cs="Cambria"/>
          <w:sz w:val="24"/>
          <w:szCs w:val="24"/>
          <w:shd w:val="clear" w:color="auto" w:fill="FFFF00"/>
        </w:rPr>
        <w:t>priestoroch kuchynskej prevádzky Fakultnej nemocnice v Trnave</w:t>
      </w:r>
    </w:p>
    <w:p w:rsidR="00557CF2" w:rsidRPr="00253CDC" w:rsidRDefault="00557CF2" w:rsidP="00253CDC">
      <w:pPr>
        <w:pStyle w:val="ListParagraph"/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Zariadenie</w:t>
      </w:r>
      <w:r w:rsidRPr="00253CDC">
        <w:rPr>
          <w:rFonts w:ascii="Cambria" w:hAnsi="Cambria" w:cs="Cambria"/>
          <w:b/>
          <w:bCs/>
          <w:sz w:val="24"/>
          <w:szCs w:val="24"/>
        </w:rPr>
        <w:t xml:space="preserve"> sociálnych služieb v Senici</w:t>
      </w: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Žiačky 2. a 3.roční</w:t>
      </w:r>
      <w:r>
        <w:rPr>
          <w:rFonts w:ascii="Cambria" w:hAnsi="Cambria" w:cs="Cambria"/>
          <w:sz w:val="24"/>
          <w:szCs w:val="24"/>
        </w:rPr>
        <w:t>ka OU počas odborného výcviku (</w:t>
      </w:r>
      <w:r w:rsidRPr="00253CDC">
        <w:rPr>
          <w:rFonts w:ascii="Cambria" w:hAnsi="Cambria" w:cs="Cambria"/>
          <w:sz w:val="24"/>
          <w:szCs w:val="24"/>
        </w:rPr>
        <w:t>tri</w:t>
      </w:r>
      <w:r>
        <w:rPr>
          <w:rFonts w:ascii="Cambria" w:hAnsi="Cambria" w:cs="Cambria"/>
          <w:sz w:val="24"/>
          <w:szCs w:val="24"/>
        </w:rPr>
        <w:t xml:space="preserve"> krát týždenne) navštevujú Zariadenie</w:t>
      </w:r>
      <w:r w:rsidRPr="00253CDC">
        <w:rPr>
          <w:rFonts w:ascii="Cambria" w:hAnsi="Cambria" w:cs="Cambria"/>
          <w:sz w:val="24"/>
          <w:szCs w:val="24"/>
        </w:rPr>
        <w:t xml:space="preserve"> sociálnych služieb v Senici, kde pomocnými prácami strednému zdravotníckeho pracovníkovi nadobúdajú potrebné zručnosti a návyky. Žiačky spolu s majsterkou využívajú pri presune na pracovisko a späť linky SAD.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 xml:space="preserve">Priestory RC   </w:t>
      </w:r>
    </w:p>
    <w:p w:rsidR="00557CF2" w:rsidRPr="00253CDC" w:rsidRDefault="00557CF2" w:rsidP="00253CDC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Praktická príprava </w:t>
      </w:r>
      <w:r w:rsidRPr="00253CDC">
        <w:rPr>
          <w:rFonts w:ascii="Cambria" w:hAnsi="Cambria" w:cs="Cambria"/>
          <w:sz w:val="24"/>
          <w:szCs w:val="24"/>
        </w:rPr>
        <w:t>prebieha:</w:t>
      </w:r>
    </w:p>
    <w:p w:rsidR="00557CF2" w:rsidRPr="00253CDC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 v dielni, ktorá je vybavená </w:t>
      </w:r>
      <w:r>
        <w:rPr>
          <w:rFonts w:ascii="Cambria" w:hAnsi="Cambria" w:cs="Cambria"/>
          <w:sz w:val="24"/>
          <w:szCs w:val="24"/>
        </w:rPr>
        <w:t xml:space="preserve"> nemocničnou posteľou, zdravotníckymi pomôckami,  </w:t>
      </w:r>
      <w:r w:rsidRPr="00253CDC">
        <w:rPr>
          <w:rFonts w:ascii="Cambria" w:hAnsi="Cambria" w:cs="Cambria"/>
          <w:sz w:val="24"/>
          <w:szCs w:val="24"/>
        </w:rPr>
        <w:t xml:space="preserve">šijacími strojmi, šijacími potrebami a </w:t>
      </w:r>
      <w:r>
        <w:rPr>
          <w:rFonts w:ascii="Cambria" w:hAnsi="Cambria" w:cs="Cambria"/>
          <w:sz w:val="24"/>
          <w:szCs w:val="24"/>
        </w:rPr>
        <w:t xml:space="preserve"> žehliacimi potrebami. S</w:t>
      </w:r>
      <w:r w:rsidRPr="00253CDC"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úži ako učebňa praktickej prípravy</w:t>
      </w:r>
      <w:r w:rsidRPr="00253CDC">
        <w:rPr>
          <w:rFonts w:ascii="Cambria" w:hAnsi="Cambria" w:cs="Cambria"/>
          <w:sz w:val="24"/>
          <w:szCs w:val="24"/>
        </w:rPr>
        <w:t xml:space="preserve"> na  predprípravu  na prácu a následne zhodnotenie pracovného dňa.</w:t>
      </w:r>
    </w:p>
    <w:p w:rsidR="00557CF2" w:rsidRPr="00253CDC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 kuchynke, v ktorej žiačky pod</w:t>
      </w:r>
      <w:r>
        <w:rPr>
          <w:rFonts w:ascii="Cambria" w:hAnsi="Cambria" w:cs="Cambria"/>
          <w:sz w:val="24"/>
          <w:szCs w:val="24"/>
        </w:rPr>
        <w:t xml:space="preserve"> dozorom majsteriek pripravujú</w:t>
      </w:r>
      <w:r w:rsidRPr="00253CDC">
        <w:rPr>
          <w:rFonts w:ascii="Cambria" w:hAnsi="Cambria" w:cs="Cambria"/>
          <w:sz w:val="24"/>
          <w:szCs w:val="24"/>
        </w:rPr>
        <w:t xml:space="preserve"> jednoduché jedlá podľa učebných plánov </w:t>
      </w:r>
    </w:p>
    <w:p w:rsidR="00557CF2" w:rsidRDefault="00557CF2" w:rsidP="00253CDC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 práčovni, ktorá je zariadená dvomi automatickými práčkami a dvomi práčkami Romo-combi.</w:t>
      </w:r>
    </w:p>
    <w:p w:rsidR="00557CF2" w:rsidRPr="00192234" w:rsidRDefault="00557CF2" w:rsidP="00192234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AE46B0">
      <w:pPr>
        <w:shd w:val="clear" w:color="auto" w:fill="FFFF00"/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Priestory Fakultnej nemocnice v Trnave</w:t>
      </w:r>
    </w:p>
    <w:p w:rsidR="00557CF2" w:rsidRPr="00253CDC" w:rsidRDefault="00557CF2" w:rsidP="00AE46B0">
      <w:pPr>
        <w:shd w:val="clear" w:color="auto" w:fill="FFFF00"/>
        <w:spacing w:after="0"/>
        <w:ind w:firstLine="708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 kuchynskej prevádzke, v rámci ktorej sa žiačky postupne striedajú na pracovisku prípravy diétneho stravovania,  prípravy závodného stravovania , vydávania stravy, úseku skladovania surovín a úseku čistenia a umývania riadu.</w:t>
      </w:r>
    </w:p>
    <w:p w:rsidR="00557CF2" w:rsidRPr="00192234" w:rsidRDefault="00557CF2" w:rsidP="00AE46B0">
      <w:pPr>
        <w:shd w:val="clear" w:color="auto" w:fill="FFFF00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 xml:space="preserve">V rámci projektu „Školský svet nezvädne“  sú vypracované učebné texty k predmetu </w:t>
      </w:r>
      <w:r>
        <w:rPr>
          <w:rFonts w:ascii="Cambria" w:hAnsi="Cambria" w:cs="Cambria"/>
          <w:sz w:val="24"/>
          <w:szCs w:val="24"/>
        </w:rPr>
        <w:t>praktická príprava</w:t>
      </w:r>
      <w:r w:rsidRPr="00253CDC">
        <w:rPr>
          <w:rFonts w:ascii="Cambria" w:hAnsi="Cambria" w:cs="Cambria"/>
          <w:sz w:val="24"/>
          <w:szCs w:val="24"/>
        </w:rPr>
        <w:t xml:space="preserve"> pre učebný odbor Opatrovateľská starostlivosť so zameraním na zdravotnícke zariadenia a zariadenia sociálnej starostlivosti, ktoré sa  budú prakticky využívať od školského roku 2013/2014.</w:t>
      </w:r>
    </w:p>
    <w:p w:rsidR="00557CF2" w:rsidRPr="00253CDC" w:rsidRDefault="00557CF2" w:rsidP="009851FA">
      <w:pPr>
        <w:pStyle w:val="ListParagraph"/>
        <w:numPr>
          <w:ilvl w:val="0"/>
          <w:numId w:val="42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253CDC">
        <w:rPr>
          <w:rFonts w:ascii="Cambria" w:hAnsi="Cambria" w:cs="Cambria"/>
          <w:b/>
          <w:bCs/>
          <w:sz w:val="24"/>
          <w:szCs w:val="24"/>
        </w:rPr>
        <w:t>Podmienky na zaistenie bezpečnosti a ochrany zdravia pri výchove a vzdelávaní</w:t>
      </w:r>
    </w:p>
    <w:p w:rsidR="00557CF2" w:rsidRPr="00253CDC" w:rsidRDefault="00557CF2" w:rsidP="009851FA">
      <w:pPr>
        <w:ind w:firstLine="708"/>
        <w:jc w:val="both"/>
        <w:rPr>
          <w:rFonts w:ascii="Cambria" w:hAnsi="Cambria" w:cs="Cambria"/>
          <w:sz w:val="24"/>
          <w:szCs w:val="24"/>
        </w:rPr>
      </w:pPr>
      <w:r w:rsidRPr="00253CDC">
        <w:rPr>
          <w:rFonts w:ascii="Cambria" w:hAnsi="Cambria" w:cs="Cambria"/>
          <w:sz w:val="24"/>
          <w:szCs w:val="24"/>
        </w:rPr>
        <w:t>V škole sú vytvorené bezpečné a zdraviu vyhovujúce podmienky výchovno-vzdelávacieho procesu. Žiaci sú pravidelne poučení a základoch bezpečnosti a ochrane zdravia  pri práci, zamestnanci školy sú pravidelne školení o bezpečnosti a ochrane zdravia pri práci a protipožiarnych opatreniach. Každoročne v súlade s platnou legislatívou sú vykonávané kontroly bezpečnosti a ochrany zdravia. Pravidelne sú vykonávané revízne kontroly, následné nedostatky odstraňované.</w:t>
      </w:r>
    </w:p>
    <w:p w:rsidR="00557CF2" w:rsidRPr="00253CDC" w:rsidRDefault="00557CF2" w:rsidP="009851FA">
      <w:pPr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</w:t>
      </w:r>
      <w:r w:rsidRPr="00253CDC">
        <w:rPr>
          <w:rFonts w:ascii="Cambria" w:hAnsi="Cambria" w:cs="Cambria"/>
          <w:sz w:val="24"/>
          <w:szCs w:val="24"/>
        </w:rPr>
        <w:t>ýkon funkcie technika požiarnej ochrany zabezpečuje Richard Zomborský a technika bezpečnosti práce v objektoch zabezpečuje  Bc. Roman Zomborský.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  <w:b/>
          <w:bCs/>
        </w:rPr>
      </w:pPr>
      <w:r w:rsidRPr="00253CDC">
        <w:rPr>
          <w:rFonts w:ascii="Cambria" w:hAnsi="Cambria" w:cs="Cambria"/>
          <w:b/>
          <w:bCs/>
        </w:rPr>
        <w:t xml:space="preserve">BOZP a PO počas </w:t>
      </w:r>
      <w:r>
        <w:rPr>
          <w:rFonts w:ascii="Cambria" w:hAnsi="Cambria" w:cs="Cambria"/>
          <w:b/>
          <w:bCs/>
        </w:rPr>
        <w:t>praktickej prípravy</w:t>
      </w:r>
    </w:p>
    <w:p w:rsidR="00557CF2" w:rsidRPr="00253CDC" w:rsidRDefault="00557CF2" w:rsidP="009851FA">
      <w:pPr>
        <w:pStyle w:val="Default"/>
        <w:spacing w:line="276" w:lineRule="auto"/>
        <w:ind w:firstLine="708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Výchova k bezpečnej a zdravie neohrozujúcej práci vychádza po dobu štúdia z požiadaviek platných právnych a ostatných predpisov. Tieto požiadavky sa musia vzťahovať k výkonu konkrétnych činností, ktoré sú súčasťou </w:t>
      </w:r>
      <w:r>
        <w:rPr>
          <w:rFonts w:ascii="Cambria" w:hAnsi="Cambria" w:cs="Cambria"/>
        </w:rPr>
        <w:t>praktickej prípravy</w:t>
      </w:r>
      <w:r w:rsidRPr="00253CDC">
        <w:rPr>
          <w:rFonts w:ascii="Cambria" w:hAnsi="Cambria" w:cs="Cambria"/>
        </w:rPr>
        <w:t xml:space="preserve">. Tieto požiadavky sa musia doplniť informáciami o rizikách možného ohrozenia, ktorým sú žiaci pri teoretickom a praktickom vyučovaní vystavení vrátane informácií o opatreniach na ochranu pred pôsobením týchto zdrojov rizík (zdravotné riziká a opatrenia pri ručnej manipulácii s bremenom, rizikové faktory súvisiace s mikroklimatickými podmienkami – teplotná záťaž organizmu a pod.).Nevyhnutné je žiakov stále poúčať o bezpečnosti a ochrane zdravia pri práci.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Priestory pre výučbu musia zodpovedať svojimi pod</w:t>
      </w:r>
      <w:r>
        <w:rPr>
          <w:rFonts w:ascii="Cambria" w:hAnsi="Cambria" w:cs="Cambria"/>
        </w:rPr>
        <w:t>mienkami požiadavkám stanovenými</w:t>
      </w:r>
      <w:r w:rsidRPr="00253CDC">
        <w:rPr>
          <w:rFonts w:ascii="Cambria" w:hAnsi="Cambria" w:cs="Cambria"/>
        </w:rPr>
        <w:t xml:space="preserve"> v zdravotníckych predpisoch (hygienické požiadavky na priestory, prevádzka školských zariadení, bezpečná prevádzka, používanie strojov, prístrojov a pod.). Nácvik a precvičovanie činností musí byť v súlade s požiadavkami, ktoré upravujú prácu pre mladistvých (napr. Zákonník práce) a v súlade s podmienkami, podľa ktorých môžu mladiství vykonávať zakázané práce z dôvodu prípravy na povolanie. Základnými podmienkami bezpečnosti a ochrany zdravia pri práci sa rozumie: </w:t>
      </w:r>
    </w:p>
    <w:p w:rsidR="00557CF2" w:rsidRPr="00253CDC" w:rsidRDefault="00557CF2" w:rsidP="00253CDC">
      <w:pPr>
        <w:pStyle w:val="Default"/>
        <w:numPr>
          <w:ilvl w:val="0"/>
          <w:numId w:val="39"/>
        </w:numPr>
        <w:spacing w:after="24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dôkladné a preukázané oboznámenie žiakov s predpismi o BOZP, protipožiarnymi predpismi a s technologickými postupmi, </w:t>
      </w:r>
    </w:p>
    <w:p w:rsidR="00557CF2" w:rsidRPr="00253CDC" w:rsidRDefault="00557CF2" w:rsidP="00253CDC">
      <w:pPr>
        <w:pStyle w:val="Default"/>
        <w:numPr>
          <w:ilvl w:val="0"/>
          <w:numId w:val="39"/>
        </w:numPr>
        <w:spacing w:after="24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používanie technického vybavenia, ktoré zodpovedá bezpečnostným a protipožiarnym predpisom, </w:t>
      </w:r>
    </w:p>
    <w:p w:rsidR="00557CF2" w:rsidRPr="00253CDC" w:rsidRDefault="00557CF2" w:rsidP="00253CDC">
      <w:pPr>
        <w:pStyle w:val="Default"/>
        <w:numPr>
          <w:ilvl w:val="0"/>
          <w:numId w:val="39"/>
        </w:numPr>
        <w:spacing w:after="24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používanie osobných ochranných pomôcok a pracovných prostriedkov podľa platných predpisov, </w:t>
      </w:r>
    </w:p>
    <w:p w:rsidR="00557CF2" w:rsidRPr="00253CDC" w:rsidRDefault="00557CF2" w:rsidP="00253CDC">
      <w:pPr>
        <w:pStyle w:val="Default"/>
        <w:numPr>
          <w:ilvl w:val="0"/>
          <w:numId w:val="39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vykonávanie stanoveného pedagogického dozoru na pracoviskách majstrami OV. 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>Práca pod dozorom si vyžaduje sústavnú prítomnosť osoby poverenej dozorom, ktorá dohliada na dodržiavanie BOZP a pracovného postupu. Táto osoba musí zrakovo obsiahnuť všetky pracovné miesta tak, aby mohla bezpečne zasi</w:t>
      </w:r>
      <w:r>
        <w:rPr>
          <w:rFonts w:ascii="Cambria" w:hAnsi="Cambria" w:cs="Cambria"/>
        </w:rPr>
        <w:t>ahnuť v prípade porušenia BOZP.</w:t>
      </w:r>
    </w:p>
    <w:p w:rsidR="00557CF2" w:rsidRPr="00253CDC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Práca pod dohľadom si vyžaduje prítomnosť osoby poverenej dohľadom kontrolovať pracoviská pred začatím práce a pokiaľ nemôže zrakovo všetky pracoviská obsiahnuť, v priebehu práce ich obchádza a kontroluje. </w:t>
      </w:r>
    </w:p>
    <w:p w:rsidR="00557CF2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Pri nástupe žiaka na pracovisko sa vyžaduje: </w:t>
      </w:r>
    </w:p>
    <w:p w:rsidR="00557CF2" w:rsidRPr="009851FA" w:rsidRDefault="00557CF2" w:rsidP="00253CDC">
      <w:pPr>
        <w:pStyle w:val="Default"/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  <w:b/>
          <w:bCs/>
        </w:rPr>
        <w:t xml:space="preserve"> Pracovné oblečenie </w:t>
      </w:r>
    </w:p>
    <w:p w:rsidR="00557CF2" w:rsidRPr="00253CDC" w:rsidRDefault="00557CF2" w:rsidP="00253CDC">
      <w:pPr>
        <w:pStyle w:val="Default"/>
        <w:numPr>
          <w:ilvl w:val="0"/>
          <w:numId w:val="40"/>
        </w:numPr>
        <w:spacing w:after="26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biele nohavice, </w:t>
      </w:r>
    </w:p>
    <w:p w:rsidR="00557CF2" w:rsidRPr="00253CDC" w:rsidRDefault="00557CF2" w:rsidP="00253CDC">
      <w:pPr>
        <w:pStyle w:val="Default"/>
        <w:numPr>
          <w:ilvl w:val="0"/>
          <w:numId w:val="40"/>
        </w:numPr>
        <w:spacing w:after="26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biele tričko, </w:t>
      </w:r>
    </w:p>
    <w:p w:rsidR="00557CF2" w:rsidRPr="00253CDC" w:rsidRDefault="00557CF2" w:rsidP="00253CDC">
      <w:pPr>
        <w:pStyle w:val="Default"/>
        <w:numPr>
          <w:ilvl w:val="0"/>
          <w:numId w:val="40"/>
        </w:numPr>
        <w:spacing w:after="26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biely plášť, </w:t>
      </w:r>
    </w:p>
    <w:p w:rsidR="00557CF2" w:rsidRPr="00253CDC" w:rsidRDefault="00557CF2" w:rsidP="00253CDC">
      <w:pPr>
        <w:pStyle w:val="Default"/>
        <w:numPr>
          <w:ilvl w:val="0"/>
          <w:numId w:val="40"/>
        </w:numPr>
        <w:spacing w:after="26"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biela šatka, </w:t>
      </w:r>
    </w:p>
    <w:p w:rsidR="00557CF2" w:rsidRPr="00253CDC" w:rsidRDefault="00557CF2" w:rsidP="00253CDC">
      <w:pPr>
        <w:pStyle w:val="Default"/>
        <w:numPr>
          <w:ilvl w:val="0"/>
          <w:numId w:val="40"/>
        </w:numPr>
        <w:spacing w:line="276" w:lineRule="auto"/>
        <w:jc w:val="both"/>
        <w:rPr>
          <w:rFonts w:ascii="Cambria" w:hAnsi="Cambria" w:cs="Cambria"/>
        </w:rPr>
      </w:pPr>
      <w:r w:rsidRPr="00253CDC">
        <w:rPr>
          <w:rFonts w:ascii="Cambria" w:hAnsi="Cambria" w:cs="Cambria"/>
        </w:rPr>
        <w:t xml:space="preserve">zdravotná obuv </w:t>
      </w:r>
      <w:r>
        <w:rPr>
          <w:rFonts w:ascii="Cambria" w:hAnsi="Cambria" w:cs="Cambria"/>
        </w:rPr>
        <w:t>.</w:t>
      </w:r>
    </w:p>
    <w:p w:rsidR="00557CF2" w:rsidRPr="00253CDC" w:rsidRDefault="00557CF2" w:rsidP="009851FA">
      <w:pPr>
        <w:pStyle w:val="Default"/>
        <w:spacing w:line="276" w:lineRule="auto"/>
        <w:jc w:val="both"/>
        <w:rPr>
          <w:rFonts w:ascii="Cambria" w:hAnsi="Cambria" w:cs="Cambria"/>
          <w:b/>
          <w:bCs/>
        </w:rPr>
      </w:pPr>
      <w:r w:rsidRPr="00253CDC">
        <w:rPr>
          <w:rFonts w:ascii="Cambria" w:hAnsi="Cambria" w:cs="Cambria"/>
          <w:b/>
          <w:bCs/>
        </w:rPr>
        <w:t xml:space="preserve">Zdravotný preukaz </w:t>
      </w:r>
    </w:p>
    <w:p w:rsidR="00557CF2" w:rsidRPr="00253CDC" w:rsidRDefault="00557CF2" w:rsidP="00253CDC">
      <w:pPr>
        <w:pStyle w:val="Default"/>
        <w:spacing w:line="276" w:lineRule="auto"/>
        <w:ind w:left="360"/>
        <w:jc w:val="both"/>
        <w:rPr>
          <w:rFonts w:ascii="Cambria" w:hAnsi="Cambria" w:cs="Cambria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Pr="00253CDC" w:rsidRDefault="00557CF2" w:rsidP="00253CDC">
      <w:pPr>
        <w:jc w:val="both"/>
        <w:rPr>
          <w:rFonts w:ascii="Cambria" w:hAnsi="Cambria" w:cs="Cambria"/>
          <w:sz w:val="24"/>
          <w:szCs w:val="24"/>
        </w:rPr>
      </w:pPr>
    </w:p>
    <w:p w:rsidR="00557CF2" w:rsidRPr="00253CDC" w:rsidRDefault="00557CF2" w:rsidP="00253CDC">
      <w:pPr>
        <w:pStyle w:val="ListParagraph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57CF2" w:rsidRDefault="00557CF2">
      <w:pPr>
        <w:rPr>
          <w:b/>
          <w:bCs/>
        </w:rPr>
      </w:pPr>
    </w:p>
    <w:p w:rsidR="00557CF2" w:rsidRDefault="00557CF2">
      <w:pPr>
        <w:rPr>
          <w:b/>
          <w:bCs/>
        </w:rPr>
      </w:pPr>
    </w:p>
    <w:p w:rsidR="00557CF2" w:rsidRPr="00192234" w:rsidRDefault="00557CF2">
      <w:pPr>
        <w:rPr>
          <w:rFonts w:ascii="Cambria" w:hAnsi="Cambria" w:cs="Cambria"/>
          <w:b/>
          <w:bCs/>
          <w:sz w:val="32"/>
          <w:szCs w:val="32"/>
        </w:rPr>
      </w:pPr>
      <w:r w:rsidRPr="00192234">
        <w:rPr>
          <w:rFonts w:ascii="Cambria" w:hAnsi="Cambria" w:cs="Cambria"/>
          <w:b/>
          <w:bCs/>
          <w:sz w:val="32"/>
          <w:szCs w:val="32"/>
        </w:rPr>
        <w:t>Učebný plán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843"/>
      </w:tblGrid>
      <w:tr w:rsidR="00557CF2" w:rsidRPr="005F01A5">
        <w:tc>
          <w:tcPr>
            <w:tcW w:w="3369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Učebný odbor:</w:t>
            </w:r>
          </w:p>
        </w:tc>
        <w:tc>
          <w:tcPr>
            <w:tcW w:w="5843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6486 2 opatrovateľská starostlivosť</w:t>
            </w:r>
          </w:p>
        </w:tc>
      </w:tr>
      <w:tr w:rsidR="00557CF2" w:rsidRPr="005F01A5">
        <w:tc>
          <w:tcPr>
            <w:tcW w:w="3369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Odborné zameranie:</w:t>
            </w:r>
          </w:p>
        </w:tc>
        <w:tc>
          <w:tcPr>
            <w:tcW w:w="5843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6486 2 00 opatrovateľská starostlivosť – v zdravotníckych zariadeniach a zariadeniach sociálnej starostlivosti</w:t>
            </w:r>
          </w:p>
        </w:tc>
      </w:tr>
      <w:tr w:rsidR="00557CF2" w:rsidRPr="005F01A5">
        <w:tc>
          <w:tcPr>
            <w:tcW w:w="3369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Forma, dĺžka a druha štúdia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Denné, </w:t>
            </w:r>
            <w:r w:rsidRPr="005F01A5">
              <w:rPr>
                <w:b/>
                <w:bCs/>
                <w:sz w:val="24"/>
                <w:szCs w:val="24"/>
              </w:rPr>
              <w:t>trojročné odborné učilište</w:t>
            </w:r>
          </w:p>
        </w:tc>
      </w:tr>
    </w:tbl>
    <w:p w:rsidR="00557CF2" w:rsidRPr="001D3E65" w:rsidRDefault="00557CF2">
      <w:pPr>
        <w:rPr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9"/>
        <w:gridCol w:w="2695"/>
        <w:gridCol w:w="993"/>
        <w:gridCol w:w="992"/>
        <w:gridCol w:w="890"/>
        <w:gridCol w:w="1769"/>
      </w:tblGrid>
      <w:tr w:rsidR="00557CF2" w:rsidRPr="005F01A5">
        <w:tc>
          <w:tcPr>
            <w:tcW w:w="464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Kategórie a názvy vyučovacích predmetov</w:t>
            </w:r>
          </w:p>
        </w:tc>
        <w:tc>
          <w:tcPr>
            <w:tcW w:w="46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Počet týždenných vyučovacích hodín</w:t>
            </w:r>
          </w:p>
        </w:tc>
      </w:tr>
      <w:tr w:rsidR="00557CF2" w:rsidRPr="005F01A5">
        <w:tc>
          <w:tcPr>
            <w:tcW w:w="464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557CF2" w:rsidRPr="005F01A5">
        <w:trPr>
          <w:trHeight w:val="573"/>
        </w:trPr>
        <w:tc>
          <w:tcPr>
            <w:tcW w:w="4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Všeobecnovzdelávacie predmety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57CF2" w:rsidRPr="005F01A5">
        <w:tc>
          <w:tcPr>
            <w:tcW w:w="19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 a komunikácia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Človek, hodnoty a spoločnosť</w:t>
            </w: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náuka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Etická výchova/náboženská výchova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a práca s informáciami</w:t>
            </w: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Informatická výchova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Zdravie a pohyb </w:t>
            </w: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výchova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FC5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Nepovinné predmety </w:t>
            </w:r>
          </w:p>
        </w:tc>
        <w:tc>
          <w:tcPr>
            <w:tcW w:w="2695" w:type="dxa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Športové hry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CF2" w:rsidRPr="005F01A5">
        <w:tc>
          <w:tcPr>
            <w:tcW w:w="19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rodinnej výchovy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CF2" w:rsidRPr="005F01A5">
        <w:trPr>
          <w:trHeight w:val="622"/>
        </w:trPr>
        <w:tc>
          <w:tcPr>
            <w:tcW w:w="4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Odborné predmety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Biológia človeka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Základy ošetrovania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4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Hygiena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Prvá pomoc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Psychológia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Potraviny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Výživa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Technológia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5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Materiály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 xml:space="preserve">Stroje a zariadenia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c>
          <w:tcPr>
            <w:tcW w:w="464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Ekonomika a organizácia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01A5">
              <w:rPr>
                <w:sz w:val="24"/>
                <w:szCs w:val="24"/>
              </w:rPr>
              <w:t>1</w:t>
            </w:r>
          </w:p>
        </w:tc>
      </w:tr>
      <w:tr w:rsidR="00557CF2" w:rsidRPr="005F01A5">
        <w:trPr>
          <w:trHeight w:val="519"/>
        </w:trPr>
        <w:tc>
          <w:tcPr>
            <w:tcW w:w="4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Praktická príprava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57CF2" w:rsidRPr="005F01A5">
        <w:trPr>
          <w:trHeight w:val="459"/>
        </w:trPr>
        <w:tc>
          <w:tcPr>
            <w:tcW w:w="4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7CF2" w:rsidRPr="005F01A5" w:rsidRDefault="00557CF2" w:rsidP="005F01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7CF2" w:rsidRPr="005F01A5" w:rsidRDefault="00557CF2" w:rsidP="005F01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01A5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57CF2" w:rsidRDefault="00557CF2" w:rsidP="004C4ADF">
      <w:pPr>
        <w:rPr>
          <w:b/>
          <w:bCs/>
        </w:rPr>
      </w:pPr>
    </w:p>
    <w:p w:rsidR="00557CF2" w:rsidRPr="00B33DC6" w:rsidRDefault="00557CF2" w:rsidP="004C4ADF">
      <w:pPr>
        <w:rPr>
          <w:rFonts w:ascii="Cambria" w:hAnsi="Cambria" w:cs="Cambria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B33DC6">
        <w:rPr>
          <w:rFonts w:ascii="Cambria" w:hAnsi="Cambria" w:cs="Cambria"/>
          <w:b/>
          <w:bCs/>
          <w:sz w:val="24"/>
          <w:szCs w:val="24"/>
        </w:rPr>
        <w:t>Poznámky:</w:t>
      </w:r>
    </w:p>
    <w:p w:rsidR="00557CF2" w:rsidRPr="00563B75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Počet týždenných vyučovacích hodín v jednotlivých ročníkoch je presne určený pre učebný plán. Celkový počet vyučovacích hodín je taktiež presne daný 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557CF2" w:rsidRPr="00563B75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563B75">
        <w:rPr>
          <w:rFonts w:ascii="Cambria" w:hAnsi="Cambria" w:cs="Cambria"/>
          <w:sz w:val="24"/>
          <w:szCs w:val="24"/>
        </w:rPr>
        <w:t>Vyučovacia hodina má 45 minút, malé prestávky 5 a 10 minút, veľká prestávka 15 minút.</w:t>
      </w:r>
    </w:p>
    <w:p w:rsidR="00557CF2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227DC7">
        <w:rPr>
          <w:rFonts w:ascii="Cambria" w:hAnsi="Cambria" w:cs="Cambria"/>
          <w:sz w:val="24"/>
          <w:szCs w:val="24"/>
        </w:rPr>
        <w:t xml:space="preserve">Predmety etická výchova a náboženská výchova sa vyučujú podľa záujmu žiakov v skupinách s počtom žiakov v súlade s vyhláškou Ministerstva školstva Slovenskej republiky (ďalej MŠ SR) č. 322/2008 Z.z. o špeciálnych školách. </w:t>
      </w:r>
      <w:r w:rsidRPr="00563B75">
        <w:rPr>
          <w:rFonts w:ascii="Cambria" w:hAnsi="Cambria" w:cs="Cambria"/>
          <w:sz w:val="24"/>
          <w:szCs w:val="24"/>
        </w:rPr>
        <w:t xml:space="preserve">Záujem o náboženskú výchovu žiaci uplatňujú prihlásením sa na začiatku školského roku. V priebehu školského roka nie </w:t>
      </w:r>
      <w:r>
        <w:rPr>
          <w:rFonts w:ascii="Cambria" w:hAnsi="Cambria" w:cs="Cambria"/>
          <w:sz w:val="24"/>
          <w:szCs w:val="24"/>
        </w:rPr>
        <w:t xml:space="preserve">je možné toto zaradenie meniť. </w:t>
      </w:r>
      <w:r w:rsidRPr="00227DC7">
        <w:rPr>
          <w:rFonts w:ascii="Cambria" w:hAnsi="Cambria" w:cs="Cambria"/>
          <w:sz w:val="24"/>
          <w:szCs w:val="24"/>
        </w:rPr>
        <w:t>Predmety nie sú klasifikované, na vysvedčení žiaka sa vedie „absolvoval/-a“.</w:t>
      </w: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770C6D">
        <w:rPr>
          <w:rFonts w:ascii="Cambria" w:hAnsi="Cambria" w:cs="Cambria"/>
          <w:sz w:val="24"/>
          <w:szCs w:val="24"/>
        </w:rPr>
        <w:t xml:space="preserve">Disponibilné hodiny sú prostriedkom na modifikáciu učebného plánu v školskom </w:t>
      </w:r>
      <w:r>
        <w:rPr>
          <w:rFonts w:ascii="Cambria" w:hAnsi="Cambria" w:cs="Cambria"/>
          <w:sz w:val="24"/>
          <w:szCs w:val="24"/>
        </w:rPr>
        <w:t xml:space="preserve"> </w:t>
      </w:r>
      <w:r w:rsidRPr="00770C6D">
        <w:rPr>
          <w:rFonts w:ascii="Cambria" w:hAnsi="Cambria" w:cs="Cambria"/>
          <w:sz w:val="24"/>
          <w:szCs w:val="24"/>
        </w:rPr>
        <w:t xml:space="preserve">vzdelávacom programe a súčasne na vnútornú a vonkajšiu diferenciáciu štúdia </w:t>
      </w:r>
      <w:r>
        <w:rPr>
          <w:rFonts w:ascii="Cambria" w:hAnsi="Cambria" w:cs="Cambria"/>
          <w:sz w:val="24"/>
          <w:szCs w:val="24"/>
        </w:rPr>
        <w:t xml:space="preserve"> </w:t>
      </w:r>
      <w:r w:rsidRPr="00770C6D">
        <w:rPr>
          <w:rFonts w:ascii="Cambria" w:hAnsi="Cambria" w:cs="Cambria"/>
          <w:sz w:val="24"/>
          <w:szCs w:val="24"/>
        </w:rPr>
        <w:t>v odbornom učilišti.</w:t>
      </w:r>
      <w:r w:rsidRPr="00770C6D">
        <w:t xml:space="preserve"> </w:t>
      </w:r>
      <w:r w:rsidRPr="00770C6D">
        <w:rPr>
          <w:rFonts w:ascii="Cambria" w:hAnsi="Cambria" w:cs="Cambria"/>
          <w:sz w:val="24"/>
          <w:szCs w:val="24"/>
        </w:rPr>
        <w:t>Disponi</w:t>
      </w:r>
      <w:r>
        <w:rPr>
          <w:rFonts w:ascii="Cambria" w:hAnsi="Cambria" w:cs="Cambria"/>
          <w:sz w:val="24"/>
          <w:szCs w:val="24"/>
        </w:rPr>
        <w:t>bilné hodiny zohľadňujú záujmy ž</w:t>
      </w:r>
      <w:r w:rsidRPr="00770C6D">
        <w:rPr>
          <w:rFonts w:ascii="Cambria" w:hAnsi="Cambria" w:cs="Cambria"/>
          <w:sz w:val="24"/>
          <w:szCs w:val="24"/>
        </w:rPr>
        <w:t xml:space="preserve">iakov, rodičov </w:t>
      </w:r>
      <w:r>
        <w:rPr>
          <w:rFonts w:ascii="Cambria" w:hAnsi="Cambria" w:cs="Cambria"/>
          <w:sz w:val="24"/>
          <w:szCs w:val="24"/>
        </w:rPr>
        <w:t xml:space="preserve"> </w:t>
      </w:r>
      <w:r w:rsidRPr="00770C6D">
        <w:rPr>
          <w:rFonts w:ascii="Cambria" w:hAnsi="Cambria" w:cs="Cambria"/>
          <w:sz w:val="24"/>
          <w:szCs w:val="24"/>
        </w:rPr>
        <w:t xml:space="preserve">a potreby regiónu, ako aj personálne a priestorové podmienky školy. Disponibilné hodiny </w:t>
      </w:r>
      <w:r>
        <w:rPr>
          <w:rFonts w:ascii="Cambria" w:hAnsi="Cambria" w:cs="Cambria"/>
          <w:sz w:val="24"/>
          <w:szCs w:val="24"/>
        </w:rPr>
        <w:t xml:space="preserve"> </w:t>
      </w:r>
      <w:r w:rsidRPr="00770C6D">
        <w:rPr>
          <w:rFonts w:ascii="Cambria" w:hAnsi="Cambria" w:cs="Cambria"/>
          <w:sz w:val="24"/>
          <w:szCs w:val="24"/>
        </w:rPr>
        <w:t>posilňuj</w:t>
      </w:r>
      <w:r>
        <w:rPr>
          <w:rFonts w:ascii="Cambria" w:hAnsi="Cambria" w:cs="Cambria"/>
          <w:sz w:val="24"/>
          <w:szCs w:val="24"/>
        </w:rPr>
        <w:t>ú profil mentálne postihnutých žiakov, umožň</w:t>
      </w:r>
      <w:r w:rsidRPr="00770C6D">
        <w:rPr>
          <w:rFonts w:ascii="Cambria" w:hAnsi="Cambria" w:cs="Cambria"/>
          <w:sz w:val="24"/>
          <w:szCs w:val="24"/>
        </w:rPr>
        <w:t xml:space="preserve">ujú dôkladnejšiu prípravu na </w:t>
      </w:r>
      <w:r>
        <w:rPr>
          <w:rFonts w:ascii="Cambria" w:hAnsi="Cambria" w:cs="Cambria"/>
          <w:sz w:val="24"/>
          <w:szCs w:val="24"/>
        </w:rPr>
        <w:t xml:space="preserve"> vzdelávanie. Ďalej umožň</w:t>
      </w:r>
      <w:r w:rsidRPr="00770C6D">
        <w:rPr>
          <w:rFonts w:ascii="Cambria" w:hAnsi="Cambria" w:cs="Cambria"/>
          <w:sz w:val="24"/>
          <w:szCs w:val="24"/>
        </w:rPr>
        <w:t>ujú ef</w:t>
      </w:r>
      <w:r>
        <w:rPr>
          <w:rFonts w:ascii="Cambria" w:hAnsi="Cambria" w:cs="Cambria"/>
          <w:sz w:val="24"/>
          <w:szCs w:val="24"/>
        </w:rPr>
        <w:t>ektívne využ</w:t>
      </w:r>
      <w:r w:rsidRPr="00770C6D">
        <w:rPr>
          <w:rFonts w:ascii="Cambria" w:hAnsi="Cambria" w:cs="Cambria"/>
          <w:sz w:val="24"/>
          <w:szCs w:val="24"/>
        </w:rPr>
        <w:t xml:space="preserve">itie medzipredmetových vzťahov na vyššej </w:t>
      </w:r>
      <w:r>
        <w:rPr>
          <w:rFonts w:ascii="Cambria" w:hAnsi="Cambria" w:cs="Cambria"/>
          <w:sz w:val="24"/>
          <w:szCs w:val="24"/>
        </w:rPr>
        <w:t xml:space="preserve"> úrovni. Využité sú</w:t>
      </w:r>
      <w:r w:rsidRPr="00770C6D">
        <w:rPr>
          <w:rFonts w:ascii="Cambria" w:hAnsi="Cambria" w:cs="Cambria"/>
          <w:sz w:val="24"/>
          <w:szCs w:val="24"/>
        </w:rPr>
        <w:t xml:space="preserve"> na posilnenie hodinovej dotácie základného učiva </w:t>
      </w:r>
      <w:r>
        <w:rPr>
          <w:rFonts w:ascii="Cambria" w:hAnsi="Cambria" w:cs="Cambria"/>
          <w:sz w:val="24"/>
          <w:szCs w:val="24"/>
        </w:rPr>
        <w:t xml:space="preserve">všeobecno vzdelávacích predmetov </w:t>
      </w:r>
      <w:r w:rsidRPr="00770C6D">
        <w:rPr>
          <w:rFonts w:ascii="Cambria" w:hAnsi="Cambria" w:cs="Cambria"/>
          <w:sz w:val="24"/>
          <w:szCs w:val="24"/>
        </w:rPr>
        <w:t xml:space="preserve">(povinných </w:t>
      </w:r>
      <w:r>
        <w:rPr>
          <w:rFonts w:ascii="Cambria" w:hAnsi="Cambria" w:cs="Cambria"/>
          <w:sz w:val="24"/>
          <w:szCs w:val="24"/>
        </w:rPr>
        <w:t xml:space="preserve"> predmetov) a</w:t>
      </w:r>
      <w:r w:rsidRPr="00770C6D">
        <w:rPr>
          <w:rFonts w:ascii="Cambria" w:hAnsi="Cambria" w:cs="Cambria"/>
          <w:sz w:val="24"/>
          <w:szCs w:val="24"/>
        </w:rPr>
        <w:t xml:space="preserve"> na zaradenie ďalšieho </w:t>
      </w:r>
      <w:r>
        <w:rPr>
          <w:rFonts w:ascii="Cambria" w:hAnsi="Cambria" w:cs="Cambria"/>
          <w:sz w:val="24"/>
          <w:szCs w:val="24"/>
        </w:rPr>
        <w:t xml:space="preserve">rozširujúceho učiva (nepovinných </w:t>
      </w:r>
      <w:r w:rsidRPr="00770C6D">
        <w:rPr>
          <w:rFonts w:ascii="Cambria" w:hAnsi="Cambria" w:cs="Cambria"/>
          <w:sz w:val="24"/>
          <w:szCs w:val="24"/>
        </w:rPr>
        <w:t xml:space="preserve"> predmetov) </w:t>
      </w:r>
      <w:r>
        <w:rPr>
          <w:rFonts w:ascii="Cambria" w:hAnsi="Cambria" w:cs="Cambria"/>
          <w:sz w:val="24"/>
          <w:szCs w:val="24"/>
        </w:rPr>
        <w:t xml:space="preserve"> </w:t>
      </w:r>
      <w:r w:rsidRPr="00770C6D">
        <w:rPr>
          <w:rFonts w:ascii="Cambria" w:hAnsi="Cambria" w:cs="Cambria"/>
          <w:sz w:val="24"/>
          <w:szCs w:val="24"/>
        </w:rPr>
        <w:t>v učebnom pláne. Disponibilné ho</w:t>
      </w:r>
      <w:r>
        <w:rPr>
          <w:rFonts w:ascii="Cambria" w:hAnsi="Cambria" w:cs="Cambria"/>
          <w:sz w:val="24"/>
          <w:szCs w:val="24"/>
        </w:rPr>
        <w:t xml:space="preserve">diny sú využité aj </w:t>
      </w:r>
      <w:r w:rsidRPr="00770C6D">
        <w:rPr>
          <w:rFonts w:ascii="Cambria" w:hAnsi="Cambria" w:cs="Cambria"/>
          <w:sz w:val="24"/>
          <w:szCs w:val="24"/>
        </w:rPr>
        <w:t xml:space="preserve">na </w:t>
      </w:r>
      <w:r>
        <w:rPr>
          <w:rFonts w:ascii="Cambria" w:hAnsi="Cambria" w:cs="Cambria"/>
          <w:sz w:val="24"/>
          <w:szCs w:val="24"/>
        </w:rPr>
        <w:t xml:space="preserve"> teoretické vzdelávanie v oblasti odborného vzdelávania.</w:t>
      </w: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Počet hodín v školskom vzdelávacom pláne je :</w:t>
      </w: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Týždenne 34 hodín v 1.,2.,3. ročníku, spolu 102 hodín. (rozpätie určené Rámcovým učebným plánom pre 3-ročné učebné odbory odborných učilíšť je 93 – 102)</w:t>
      </w: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Rozdelenie hodín rámcového učebného plánu: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0"/>
        <w:gridCol w:w="2312"/>
        <w:gridCol w:w="2312"/>
        <w:gridCol w:w="2114"/>
      </w:tblGrid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Cieľové zložky vzdelávania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Počet hodín ŠVP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Počet hodín ŠkVP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Celkový počet hodín za štúdium</w:t>
            </w:r>
          </w:p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Minim./ŠkVP</w:t>
            </w:r>
          </w:p>
        </w:tc>
      </w:tr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Všeobecno vzdelávacie predmety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480 / 704</w:t>
            </w:r>
          </w:p>
        </w:tc>
      </w:tr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Odborné predmety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2112 /640</w:t>
            </w:r>
          </w:p>
        </w:tc>
      </w:tr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Praktická príprava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60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60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384 /1920</w:t>
            </w:r>
          </w:p>
        </w:tc>
      </w:tr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Disponibilné hodiny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 xml:space="preserve">              (21)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57CF2">
        <w:tc>
          <w:tcPr>
            <w:tcW w:w="2550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 xml:space="preserve">Spolu: 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93</w:t>
            </w:r>
          </w:p>
        </w:tc>
        <w:tc>
          <w:tcPr>
            <w:tcW w:w="2312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102</w:t>
            </w:r>
          </w:p>
        </w:tc>
        <w:tc>
          <w:tcPr>
            <w:tcW w:w="2114" w:type="dxa"/>
          </w:tcPr>
          <w:p w:rsidR="00557CF2" w:rsidRPr="009E01CA" w:rsidRDefault="00557CF2" w:rsidP="009E01CA">
            <w:pPr>
              <w:tabs>
                <w:tab w:val="left" w:pos="2100"/>
              </w:tabs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E01CA">
              <w:rPr>
                <w:rFonts w:ascii="Cambria" w:hAnsi="Cambria" w:cs="Cambria"/>
                <w:sz w:val="24"/>
                <w:szCs w:val="24"/>
              </w:rPr>
              <w:t>2976/ 3264</w:t>
            </w:r>
          </w:p>
        </w:tc>
      </w:tr>
    </w:tbl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</w:p>
    <w:p w:rsidR="00557CF2" w:rsidRDefault="00557CF2" w:rsidP="00770C6D">
      <w:pPr>
        <w:tabs>
          <w:tab w:val="left" w:pos="2100"/>
        </w:tabs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Nepovinné predmety:</w:t>
      </w:r>
    </w:p>
    <w:p w:rsidR="00557CF2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Základy rodinnej výchovy – v rozsahu 1 hodina týždenne v prvom ročníku. Predmet nie je klasifikovaný, na vysvedčení a katalógom liste žiaka sa vedie „absolvoval/-a“.</w:t>
      </w:r>
    </w:p>
    <w:p w:rsidR="00557CF2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Športové hry – v rozsahu 1 hodina týždenne v prvom, druhom aj v treťom ročníku. Je súčasťou vzdelávacej oblasti Zdravie a pohyb. Predmet sa vyučuje  v rozvrhu následne po predmete telesná výchova. Predmet nie je klasifikovaný, na vysvedčení a katalógovom liste žiaka sa vedie „absolvoval/-a“.</w:t>
      </w:r>
    </w:p>
    <w:p w:rsidR="00557CF2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227DC7">
        <w:rPr>
          <w:rFonts w:ascii="Cambria" w:hAnsi="Cambria" w:cs="Cambria"/>
          <w:sz w:val="24"/>
          <w:szCs w:val="24"/>
        </w:rPr>
        <w:t>Povinnou súčasťou výchovy a vzdelávania je učivo Ochrana</w:t>
      </w:r>
      <w:r>
        <w:rPr>
          <w:rFonts w:ascii="Cambria" w:hAnsi="Cambria" w:cs="Cambria"/>
          <w:sz w:val="24"/>
          <w:szCs w:val="24"/>
        </w:rPr>
        <w:t xml:space="preserve"> človeka a prírody.</w:t>
      </w:r>
      <w:r w:rsidRPr="00227DC7">
        <w:rPr>
          <w:rFonts w:ascii="Cambria" w:hAnsi="Cambria" w:cs="Cambria"/>
          <w:sz w:val="24"/>
          <w:szCs w:val="24"/>
        </w:rPr>
        <w:t xml:space="preserve"> Obsah učiva sa realizuje dvoma účelovými cvič</w:t>
      </w:r>
      <w:r>
        <w:rPr>
          <w:rFonts w:ascii="Cambria" w:hAnsi="Cambria" w:cs="Cambria"/>
          <w:sz w:val="24"/>
          <w:szCs w:val="24"/>
        </w:rPr>
        <w:t xml:space="preserve">eniami. </w:t>
      </w:r>
      <w:r w:rsidRPr="00227DC7">
        <w:rPr>
          <w:rFonts w:ascii="Cambria" w:hAnsi="Cambria" w:cs="Cambria"/>
          <w:sz w:val="24"/>
          <w:szCs w:val="24"/>
        </w:rPr>
        <w:t xml:space="preserve">Účelové cvičenia sa vykonávajú </w:t>
      </w:r>
      <w:r>
        <w:rPr>
          <w:rFonts w:ascii="Cambria" w:hAnsi="Cambria" w:cs="Cambria"/>
          <w:sz w:val="24"/>
          <w:szCs w:val="24"/>
        </w:rPr>
        <w:t xml:space="preserve">v jesennom a jarnom období </w:t>
      </w:r>
      <w:r w:rsidRPr="00227DC7">
        <w:rPr>
          <w:rFonts w:ascii="Cambria" w:hAnsi="Cambria" w:cs="Cambria"/>
          <w:sz w:val="24"/>
          <w:szCs w:val="24"/>
        </w:rPr>
        <w:t xml:space="preserve">.  </w:t>
      </w:r>
      <w:r>
        <w:rPr>
          <w:rFonts w:ascii="Cambria" w:hAnsi="Cambria" w:cs="Cambria"/>
          <w:sz w:val="24"/>
          <w:szCs w:val="24"/>
        </w:rPr>
        <w:t>Rozsah účelového cvičenia : 2 x 5 vyuč. hodín teoretickej prípravy, 2 x 5 vyuč. hodín praktických cvičení.</w:t>
      </w:r>
    </w:p>
    <w:p w:rsidR="00557CF2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CB124E">
        <w:rPr>
          <w:rFonts w:ascii="Cambria" w:hAnsi="Cambria" w:cs="Cambria"/>
          <w:sz w:val="24"/>
          <w:szCs w:val="24"/>
        </w:rPr>
        <w:t xml:space="preserve">V rámci </w:t>
      </w:r>
      <w:r>
        <w:rPr>
          <w:rFonts w:ascii="Cambria" w:hAnsi="Cambria" w:cs="Cambria"/>
          <w:sz w:val="24"/>
          <w:szCs w:val="24"/>
        </w:rPr>
        <w:t xml:space="preserve">praktickej prípravy </w:t>
      </w:r>
      <w:r w:rsidRPr="00CB124E">
        <w:rPr>
          <w:rFonts w:ascii="Cambria" w:hAnsi="Cambria" w:cs="Cambria"/>
          <w:sz w:val="24"/>
          <w:szCs w:val="24"/>
        </w:rPr>
        <w:t>sa môžu žiaci deliť do skupín, najmä s ohľadom na bezpečnosť a ochranu zdravia pri práci a na hygienické požiadavky podľa platných predpisov. Počet žiakov na jedného učiteľa sa riadi všeobecne záväznými platnými predpismi.</w:t>
      </w:r>
    </w:p>
    <w:p w:rsidR="00557CF2" w:rsidRPr="00227DC7" w:rsidRDefault="00557CF2" w:rsidP="00761E08">
      <w:pPr>
        <w:tabs>
          <w:tab w:val="left" w:pos="2100"/>
        </w:tabs>
        <w:jc w:val="both"/>
        <w:rPr>
          <w:rFonts w:ascii="Cambria" w:hAnsi="Cambria" w:cs="Cambria"/>
          <w:sz w:val="24"/>
          <w:szCs w:val="24"/>
        </w:rPr>
      </w:pPr>
      <w:r w:rsidRPr="00AC56E5">
        <w:rPr>
          <w:rFonts w:ascii="Cambria" w:hAnsi="Cambria" w:cs="Cambria"/>
          <w:sz w:val="24"/>
          <w:szCs w:val="24"/>
        </w:rPr>
        <w:t xml:space="preserve"> Záverečná skúška sa organizuje podľa súčasne platnej školskej legislatívy</w:t>
      </w:r>
      <w:r>
        <w:rPr>
          <w:rFonts w:ascii="Cambria" w:hAnsi="Cambria" w:cs="Cambria"/>
          <w:sz w:val="24"/>
          <w:szCs w:val="24"/>
        </w:rPr>
        <w:t>.</w:t>
      </w:r>
    </w:p>
    <w:p w:rsidR="00557CF2" w:rsidRPr="00D1351A" w:rsidRDefault="00557CF2" w:rsidP="004C4ADF">
      <w:pPr>
        <w:rPr>
          <w:b/>
          <w:bCs/>
        </w:rPr>
      </w:pPr>
    </w:p>
    <w:sectPr w:rsidR="00557CF2" w:rsidRPr="00D1351A" w:rsidSect="00B3678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F2" w:rsidRDefault="00557CF2" w:rsidP="00B36788">
      <w:pPr>
        <w:spacing w:after="0" w:line="240" w:lineRule="auto"/>
      </w:pPr>
      <w:r>
        <w:separator/>
      </w:r>
    </w:p>
  </w:endnote>
  <w:endnote w:type="continuationSeparator" w:id="1">
    <w:p w:rsidR="00557CF2" w:rsidRDefault="00557CF2" w:rsidP="00B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F2" w:rsidRDefault="00557CF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557CF2" w:rsidRDefault="00557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F2" w:rsidRDefault="00557CF2" w:rsidP="00B36788">
      <w:pPr>
        <w:spacing w:after="0" w:line="240" w:lineRule="auto"/>
      </w:pPr>
      <w:r>
        <w:separator/>
      </w:r>
    </w:p>
  </w:footnote>
  <w:footnote w:type="continuationSeparator" w:id="1">
    <w:p w:rsidR="00557CF2" w:rsidRDefault="00557CF2" w:rsidP="00B3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EC"/>
    <w:multiLevelType w:val="hybridMultilevel"/>
    <w:tmpl w:val="9E40AD50"/>
    <w:lvl w:ilvl="0" w:tplc="B954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2760"/>
    <w:multiLevelType w:val="hybridMultilevel"/>
    <w:tmpl w:val="97CAB72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4A06E5"/>
    <w:multiLevelType w:val="hybridMultilevel"/>
    <w:tmpl w:val="DA3CD6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F92F2FE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92469"/>
    <w:multiLevelType w:val="hybridMultilevel"/>
    <w:tmpl w:val="1502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723"/>
    <w:multiLevelType w:val="hybridMultilevel"/>
    <w:tmpl w:val="0586530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B7656BF"/>
    <w:multiLevelType w:val="hybridMultilevel"/>
    <w:tmpl w:val="3FFE7AA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0F4E5BBB"/>
    <w:multiLevelType w:val="hybridMultilevel"/>
    <w:tmpl w:val="A5203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7A12FB"/>
    <w:multiLevelType w:val="hybridMultilevel"/>
    <w:tmpl w:val="AC8C0B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635449"/>
    <w:multiLevelType w:val="hybridMultilevel"/>
    <w:tmpl w:val="737E23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567E5E"/>
    <w:multiLevelType w:val="hybridMultilevel"/>
    <w:tmpl w:val="4B0EE53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3605002"/>
    <w:multiLevelType w:val="hybridMultilevel"/>
    <w:tmpl w:val="67CA4C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753521"/>
    <w:multiLevelType w:val="hybridMultilevel"/>
    <w:tmpl w:val="CA663C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43162F78">
      <w:start w:val="7"/>
      <w:numFmt w:val="bullet"/>
      <w:lvlText w:val=""/>
      <w:lvlJc w:val="left"/>
      <w:pPr>
        <w:ind w:left="2160" w:hanging="360"/>
      </w:pPr>
      <w:rPr>
        <w:rFonts w:ascii="Cambria" w:eastAsia="Times New Roman" w:hAnsi="Cambria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6412CD"/>
    <w:multiLevelType w:val="hybridMultilevel"/>
    <w:tmpl w:val="DCF68D7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F733A"/>
    <w:multiLevelType w:val="hybridMultilevel"/>
    <w:tmpl w:val="A538D5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BE3AE9"/>
    <w:multiLevelType w:val="hybridMultilevel"/>
    <w:tmpl w:val="7D36E5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422864"/>
    <w:multiLevelType w:val="hybridMultilevel"/>
    <w:tmpl w:val="98B6EC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392F87"/>
    <w:multiLevelType w:val="hybridMultilevel"/>
    <w:tmpl w:val="730640AA"/>
    <w:lvl w:ilvl="0" w:tplc="9D4E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FD1600"/>
    <w:multiLevelType w:val="hybridMultilevel"/>
    <w:tmpl w:val="388E10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11CB"/>
    <w:multiLevelType w:val="hybridMultilevel"/>
    <w:tmpl w:val="7E445E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624A44"/>
    <w:multiLevelType w:val="hybridMultilevel"/>
    <w:tmpl w:val="943C6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0B1A8A"/>
    <w:multiLevelType w:val="hybridMultilevel"/>
    <w:tmpl w:val="9398D3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BA093D"/>
    <w:multiLevelType w:val="hybridMultilevel"/>
    <w:tmpl w:val="111CDE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8B00CB"/>
    <w:multiLevelType w:val="hybridMultilevel"/>
    <w:tmpl w:val="0F0CB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932D1D"/>
    <w:multiLevelType w:val="hybridMultilevel"/>
    <w:tmpl w:val="ED789B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8821BE"/>
    <w:multiLevelType w:val="hybridMultilevel"/>
    <w:tmpl w:val="3D0C72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310D2A"/>
    <w:multiLevelType w:val="hybridMultilevel"/>
    <w:tmpl w:val="5336BF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E13B5F"/>
    <w:multiLevelType w:val="hybridMultilevel"/>
    <w:tmpl w:val="B08A0F5E"/>
    <w:lvl w:ilvl="0" w:tplc="D5385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4534B"/>
    <w:multiLevelType w:val="hybridMultilevel"/>
    <w:tmpl w:val="5F84C7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E9054F"/>
    <w:multiLevelType w:val="hybridMultilevel"/>
    <w:tmpl w:val="28803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6FB3"/>
    <w:multiLevelType w:val="hybridMultilevel"/>
    <w:tmpl w:val="04929F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53353E"/>
    <w:multiLevelType w:val="hybridMultilevel"/>
    <w:tmpl w:val="6F6E3E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285323"/>
    <w:multiLevelType w:val="hybridMultilevel"/>
    <w:tmpl w:val="41BC18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2C02E42"/>
    <w:multiLevelType w:val="hybridMultilevel"/>
    <w:tmpl w:val="C71C3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6D46A2"/>
    <w:multiLevelType w:val="hybridMultilevel"/>
    <w:tmpl w:val="BAEEB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C71DE"/>
    <w:multiLevelType w:val="hybridMultilevel"/>
    <w:tmpl w:val="3716A8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655580"/>
    <w:multiLevelType w:val="hybridMultilevel"/>
    <w:tmpl w:val="E0DCF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70E5C"/>
    <w:multiLevelType w:val="hybridMultilevel"/>
    <w:tmpl w:val="28803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DD5"/>
    <w:multiLevelType w:val="hybridMultilevel"/>
    <w:tmpl w:val="012C43A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73C06CAC"/>
    <w:multiLevelType w:val="hybridMultilevel"/>
    <w:tmpl w:val="8542C4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CC7494"/>
    <w:multiLevelType w:val="hybridMultilevel"/>
    <w:tmpl w:val="55C000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5F2C2B"/>
    <w:multiLevelType w:val="hybridMultilevel"/>
    <w:tmpl w:val="6C9AE8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8878E2"/>
    <w:multiLevelType w:val="hybridMultilevel"/>
    <w:tmpl w:val="388E10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6"/>
  </w:num>
  <w:num w:numId="5">
    <w:abstractNumId w:val="17"/>
  </w:num>
  <w:num w:numId="6">
    <w:abstractNumId w:val="41"/>
  </w:num>
  <w:num w:numId="7">
    <w:abstractNumId w:val="36"/>
  </w:num>
  <w:num w:numId="8">
    <w:abstractNumId w:val="10"/>
  </w:num>
  <w:num w:numId="9">
    <w:abstractNumId w:val="3"/>
  </w:num>
  <w:num w:numId="10">
    <w:abstractNumId w:val="5"/>
  </w:num>
  <w:num w:numId="11">
    <w:abstractNumId w:val="19"/>
  </w:num>
  <w:num w:numId="12">
    <w:abstractNumId w:val="37"/>
  </w:num>
  <w:num w:numId="13">
    <w:abstractNumId w:val="1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  <w:num w:numId="18">
    <w:abstractNumId w:val="34"/>
  </w:num>
  <w:num w:numId="19">
    <w:abstractNumId w:val="35"/>
  </w:num>
  <w:num w:numId="20">
    <w:abstractNumId w:val="2"/>
  </w:num>
  <w:num w:numId="21">
    <w:abstractNumId w:val="8"/>
  </w:num>
  <w:num w:numId="22">
    <w:abstractNumId w:val="15"/>
  </w:num>
  <w:num w:numId="23">
    <w:abstractNumId w:val="32"/>
  </w:num>
  <w:num w:numId="24">
    <w:abstractNumId w:val="40"/>
  </w:num>
  <w:num w:numId="25">
    <w:abstractNumId w:val="23"/>
  </w:num>
  <w:num w:numId="26">
    <w:abstractNumId w:val="38"/>
  </w:num>
  <w:num w:numId="27">
    <w:abstractNumId w:val="39"/>
  </w:num>
  <w:num w:numId="28">
    <w:abstractNumId w:val="30"/>
  </w:num>
  <w:num w:numId="29">
    <w:abstractNumId w:val="13"/>
  </w:num>
  <w:num w:numId="30">
    <w:abstractNumId w:val="29"/>
  </w:num>
  <w:num w:numId="31">
    <w:abstractNumId w:val="22"/>
  </w:num>
  <w:num w:numId="32">
    <w:abstractNumId w:val="25"/>
  </w:num>
  <w:num w:numId="33">
    <w:abstractNumId w:val="21"/>
  </w:num>
  <w:num w:numId="34">
    <w:abstractNumId w:val="7"/>
  </w:num>
  <w:num w:numId="35">
    <w:abstractNumId w:val="6"/>
  </w:num>
  <w:num w:numId="36">
    <w:abstractNumId w:val="24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3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F29"/>
    <w:rsid w:val="000112F0"/>
    <w:rsid w:val="000165E0"/>
    <w:rsid w:val="00036667"/>
    <w:rsid w:val="0008010F"/>
    <w:rsid w:val="000827CA"/>
    <w:rsid w:val="000E6142"/>
    <w:rsid w:val="00100C33"/>
    <w:rsid w:val="00146F60"/>
    <w:rsid w:val="00182EC5"/>
    <w:rsid w:val="00192234"/>
    <w:rsid w:val="001B2449"/>
    <w:rsid w:val="001C1B89"/>
    <w:rsid w:val="001C62F8"/>
    <w:rsid w:val="001D1CB2"/>
    <w:rsid w:val="001D2403"/>
    <w:rsid w:val="001D3E65"/>
    <w:rsid w:val="001D750D"/>
    <w:rsid w:val="00212902"/>
    <w:rsid w:val="00227DC7"/>
    <w:rsid w:val="00253CDC"/>
    <w:rsid w:val="0029259A"/>
    <w:rsid w:val="002C623B"/>
    <w:rsid w:val="002E56CF"/>
    <w:rsid w:val="003036E3"/>
    <w:rsid w:val="00375FCB"/>
    <w:rsid w:val="00393B06"/>
    <w:rsid w:val="003D1925"/>
    <w:rsid w:val="00424C81"/>
    <w:rsid w:val="00462E2D"/>
    <w:rsid w:val="004940F7"/>
    <w:rsid w:val="004C4ADF"/>
    <w:rsid w:val="005004AA"/>
    <w:rsid w:val="00514BCA"/>
    <w:rsid w:val="005172FA"/>
    <w:rsid w:val="00520CBE"/>
    <w:rsid w:val="00557CF2"/>
    <w:rsid w:val="00563B75"/>
    <w:rsid w:val="005B6B7C"/>
    <w:rsid w:val="005C6FEF"/>
    <w:rsid w:val="005F01A5"/>
    <w:rsid w:val="00620BD1"/>
    <w:rsid w:val="00633A92"/>
    <w:rsid w:val="006353E2"/>
    <w:rsid w:val="00643728"/>
    <w:rsid w:val="006A1FFF"/>
    <w:rsid w:val="006C48B3"/>
    <w:rsid w:val="006E2CCF"/>
    <w:rsid w:val="00745D1A"/>
    <w:rsid w:val="00761E08"/>
    <w:rsid w:val="0077039D"/>
    <w:rsid w:val="00770C6D"/>
    <w:rsid w:val="007937FE"/>
    <w:rsid w:val="007C08C7"/>
    <w:rsid w:val="007E0036"/>
    <w:rsid w:val="008166DC"/>
    <w:rsid w:val="008B61AD"/>
    <w:rsid w:val="008D2930"/>
    <w:rsid w:val="00912385"/>
    <w:rsid w:val="009851FA"/>
    <w:rsid w:val="00990EC2"/>
    <w:rsid w:val="009C4B3D"/>
    <w:rsid w:val="009D4306"/>
    <w:rsid w:val="009E01CA"/>
    <w:rsid w:val="00A07476"/>
    <w:rsid w:val="00AB55A9"/>
    <w:rsid w:val="00AC56E5"/>
    <w:rsid w:val="00AD6D7C"/>
    <w:rsid w:val="00AE46B0"/>
    <w:rsid w:val="00B00F29"/>
    <w:rsid w:val="00B01D2C"/>
    <w:rsid w:val="00B31CB6"/>
    <w:rsid w:val="00B33DC6"/>
    <w:rsid w:val="00B36788"/>
    <w:rsid w:val="00B57129"/>
    <w:rsid w:val="00B94FB9"/>
    <w:rsid w:val="00CB04AA"/>
    <w:rsid w:val="00CB124E"/>
    <w:rsid w:val="00CD401E"/>
    <w:rsid w:val="00D1351A"/>
    <w:rsid w:val="00D458EF"/>
    <w:rsid w:val="00D6633B"/>
    <w:rsid w:val="00D77C63"/>
    <w:rsid w:val="00DA3E6F"/>
    <w:rsid w:val="00DC317F"/>
    <w:rsid w:val="00DE2998"/>
    <w:rsid w:val="00E173F4"/>
    <w:rsid w:val="00E35D07"/>
    <w:rsid w:val="00E94F67"/>
    <w:rsid w:val="00EA1978"/>
    <w:rsid w:val="00EA1ECB"/>
    <w:rsid w:val="00F02E86"/>
    <w:rsid w:val="00F0799E"/>
    <w:rsid w:val="00F20587"/>
    <w:rsid w:val="00F7374D"/>
    <w:rsid w:val="00FA1419"/>
    <w:rsid w:val="00FC3079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9A"/>
    <w:pPr>
      <w:spacing w:after="200" w:line="276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A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317F"/>
    <w:pPr>
      <w:ind w:left="720"/>
    </w:pPr>
  </w:style>
  <w:style w:type="paragraph" w:customStyle="1" w:styleId="Default">
    <w:name w:val="Default"/>
    <w:uiPriority w:val="99"/>
    <w:rsid w:val="00212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rsid w:val="00462E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5D07"/>
    <w:pPr>
      <w:spacing w:after="0" w:line="240" w:lineRule="auto"/>
    </w:pPr>
    <w:rPr>
      <w:rFonts w:ascii="Tahoma" w:hAnsi="Tahoma" w:cs="Tahoma"/>
      <w:sz w:val="16"/>
      <w:szCs w:val="16"/>
      <w:lang w:val="en-US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6788"/>
  </w:style>
  <w:style w:type="paragraph" w:styleId="Footer">
    <w:name w:val="footer"/>
    <w:basedOn w:val="Normal"/>
    <w:link w:val="FooterChar"/>
    <w:uiPriority w:val="99"/>
    <w:rsid w:val="00B3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inr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22</Pages>
  <Words>6138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Kancelaria</cp:lastModifiedBy>
  <cp:revision>29</cp:revision>
  <cp:lastPrinted>1980-01-04T09:16:00Z</cp:lastPrinted>
  <dcterms:created xsi:type="dcterms:W3CDTF">2014-01-14T01:18:00Z</dcterms:created>
  <dcterms:modified xsi:type="dcterms:W3CDTF">2020-07-01T08:38:00Z</dcterms:modified>
</cp:coreProperties>
</file>